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E64B2F">
      <w:pPr>
        <w:keepNext w:val="0"/>
        <w:keepLines w:val="0"/>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rPr>
      </w:pPr>
    </w:p>
    <w:p w14:paraId="4ADEA05A">
      <w:pPr>
        <w:keepNext w:val="0"/>
        <w:keepLines w:val="0"/>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rPr>
      </w:pPr>
    </w:p>
    <w:p w14:paraId="10DE50FF">
      <w:pPr>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lang w:eastAsia="zh-CN"/>
        </w:rPr>
      </w:pPr>
      <w:r>
        <w:rPr>
          <w:rFonts w:hint="eastAsia" w:ascii="宋体" w:hAnsi="宋体" w:cs="宋体"/>
          <w:b/>
          <w:bCs/>
          <w:kern w:val="0"/>
          <w:sz w:val="44"/>
          <w:szCs w:val="44"/>
          <w:lang w:val="en-US" w:eastAsia="zh-CN"/>
        </w:rPr>
        <w:t>石家庄市卫生健康委员会</w:t>
      </w:r>
    </w:p>
    <w:p w14:paraId="59E13159">
      <w:pPr>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lang w:eastAsia="zh-CN"/>
        </w:rPr>
      </w:pPr>
      <w:r>
        <w:rPr>
          <w:rFonts w:hint="eastAsia" w:ascii="宋体" w:hAnsi="宋体" w:cs="宋体"/>
          <w:b/>
          <w:bCs/>
          <w:kern w:val="0"/>
          <w:sz w:val="44"/>
          <w:szCs w:val="44"/>
          <w:lang w:val="en-US" w:eastAsia="zh-CN"/>
        </w:rPr>
        <w:t>2024年度部门整体支出绩效</w:t>
      </w:r>
      <w:r>
        <w:rPr>
          <w:rFonts w:hint="eastAsia" w:ascii="宋体" w:hAnsi="宋体" w:cs="宋体"/>
          <w:b/>
          <w:bCs/>
          <w:kern w:val="0"/>
          <w:sz w:val="44"/>
          <w:szCs w:val="44"/>
          <w:lang w:eastAsia="zh-CN"/>
        </w:rPr>
        <w:t>自评报告</w:t>
      </w:r>
    </w:p>
    <w:p w14:paraId="3DBC753A">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39A57F5D">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5A013F6D">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24F25349">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362C91C2">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1F3B0CBC">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0E4E5BAA">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5104DF98">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312E4E51">
      <w:pPr>
        <w:pageBreakBefore w:val="0"/>
        <w:widowControl w:val="0"/>
        <w:kinsoku/>
        <w:wordWrap/>
        <w:overflowPunct/>
        <w:topLinePunct w:val="0"/>
        <w:autoSpaceDE/>
        <w:autoSpaceDN/>
        <w:bidi w:val="0"/>
        <w:adjustRightInd/>
        <w:snapToGrid/>
        <w:spacing w:line="578" w:lineRule="exact"/>
        <w:textAlignment w:val="auto"/>
        <w:outlineLvl w:val="9"/>
        <w:rPr>
          <w:rFonts w:hint="eastAsia" w:ascii="宋体" w:hAnsi="宋体" w:cs="宋体"/>
          <w:b/>
          <w:bCs/>
          <w:sz w:val="44"/>
          <w:szCs w:val="44"/>
        </w:rPr>
      </w:pPr>
    </w:p>
    <w:p w14:paraId="7FA08122">
      <w:pPr>
        <w:keepNext/>
        <w:keepLines/>
        <w:pageBreakBefore w:val="0"/>
        <w:widowControl w:val="0"/>
        <w:kinsoku/>
        <w:wordWrap/>
        <w:overflowPunct/>
        <w:topLinePunct w:val="0"/>
        <w:autoSpaceDE/>
        <w:autoSpaceDN/>
        <w:bidi w:val="0"/>
        <w:adjustRightInd/>
        <w:snapToGrid/>
        <w:spacing w:line="578" w:lineRule="exact"/>
        <w:ind w:left="1151" w:hanging="1151"/>
        <w:textAlignment w:val="auto"/>
        <w:outlineLvl w:val="9"/>
        <w:rPr>
          <w:rFonts w:hint="eastAsia" w:ascii="宋体" w:hAnsi="宋体" w:cs="宋体"/>
          <w:b/>
          <w:bCs/>
          <w:sz w:val="44"/>
          <w:szCs w:val="44"/>
        </w:rPr>
      </w:pPr>
    </w:p>
    <w:p w14:paraId="64F16E11">
      <w:pPr>
        <w:pageBreakBefore w:val="0"/>
        <w:widowControl w:val="0"/>
        <w:kinsoku/>
        <w:wordWrap/>
        <w:overflowPunct/>
        <w:topLinePunct w:val="0"/>
        <w:autoSpaceDE/>
        <w:autoSpaceDN/>
        <w:bidi w:val="0"/>
        <w:adjustRightInd/>
        <w:snapToGrid/>
        <w:spacing w:line="578" w:lineRule="exact"/>
        <w:textAlignment w:val="auto"/>
        <w:outlineLvl w:val="9"/>
        <w:rPr>
          <w:rFonts w:hint="eastAsia"/>
        </w:rPr>
      </w:pPr>
    </w:p>
    <w:p w14:paraId="19EC866A">
      <w:pPr>
        <w:pageBreakBefore w:val="0"/>
        <w:widowControl w:val="0"/>
        <w:kinsoku/>
        <w:wordWrap/>
        <w:overflowPunct/>
        <w:topLinePunct w:val="0"/>
        <w:autoSpaceDE/>
        <w:autoSpaceDN/>
        <w:bidi w:val="0"/>
        <w:adjustRightInd/>
        <w:snapToGrid/>
        <w:spacing w:line="578" w:lineRule="exact"/>
        <w:textAlignment w:val="auto"/>
        <w:outlineLvl w:val="9"/>
        <w:rPr>
          <w:rFonts w:hint="eastAsia"/>
        </w:rPr>
      </w:pPr>
    </w:p>
    <w:p w14:paraId="25420D9E">
      <w:pPr>
        <w:pageBreakBefore w:val="0"/>
        <w:widowControl w:val="0"/>
        <w:kinsoku/>
        <w:wordWrap/>
        <w:overflowPunct/>
        <w:topLinePunct w:val="0"/>
        <w:autoSpaceDE/>
        <w:autoSpaceDN/>
        <w:bidi w:val="0"/>
        <w:adjustRightInd/>
        <w:snapToGrid/>
        <w:spacing w:line="578" w:lineRule="exact"/>
        <w:jc w:val="center"/>
        <w:textAlignment w:val="auto"/>
        <w:outlineLvl w:val="9"/>
        <w:rPr>
          <w:rFonts w:hint="eastAsia"/>
          <w:lang w:val="en-US" w:eastAsia="zh-CN"/>
        </w:rPr>
      </w:pPr>
      <w:r>
        <w:rPr>
          <w:rFonts w:hint="eastAsia" w:ascii="Calibri" w:hAnsi="Calibri"/>
          <w:b/>
          <w:bCs/>
          <w:sz w:val="32"/>
          <w:szCs w:val="32"/>
          <w:lang w:eastAsia="zh-CN"/>
        </w:rPr>
        <w:t>石家庄市卫生健康委员会</w:t>
      </w:r>
    </w:p>
    <w:p w14:paraId="2D3C3D7C">
      <w:pPr>
        <w:keepNext/>
        <w:keepLines/>
        <w:pageBreakBefore w:val="0"/>
        <w:widowControl w:val="0"/>
        <w:kinsoku/>
        <w:wordWrap/>
        <w:overflowPunct/>
        <w:topLinePunct w:val="0"/>
        <w:autoSpaceDE/>
        <w:autoSpaceDN/>
        <w:bidi w:val="0"/>
        <w:adjustRightInd/>
        <w:snapToGrid/>
        <w:spacing w:line="578" w:lineRule="exact"/>
        <w:jc w:val="center"/>
        <w:textAlignment w:val="auto"/>
        <w:outlineLvl w:val="9"/>
        <w:rPr>
          <w:rFonts w:hint="eastAsia" w:ascii="宋体" w:hAnsi="宋体" w:cs="宋体"/>
          <w:b/>
          <w:bCs/>
          <w:sz w:val="32"/>
          <w:szCs w:val="32"/>
          <w:lang w:val="en-US" w:eastAsia="zh-CN"/>
        </w:rPr>
      </w:pPr>
    </w:p>
    <w:p w14:paraId="751531A0">
      <w:pPr>
        <w:keepNext/>
        <w:keepLines/>
        <w:pageBreakBefore w:val="0"/>
        <w:widowControl w:val="0"/>
        <w:kinsoku/>
        <w:wordWrap/>
        <w:overflowPunct/>
        <w:topLinePunct w:val="0"/>
        <w:autoSpaceDE/>
        <w:autoSpaceDN/>
        <w:bidi w:val="0"/>
        <w:adjustRightInd/>
        <w:snapToGrid/>
        <w:spacing w:line="578" w:lineRule="exact"/>
        <w:jc w:val="center"/>
        <w:textAlignment w:val="auto"/>
        <w:outlineLvl w:val="9"/>
        <w:rPr>
          <w:rFonts w:hint="eastAsia" w:ascii="宋体" w:hAnsi="宋体" w:cs="宋体"/>
          <w:b/>
          <w:bCs/>
          <w:sz w:val="32"/>
          <w:szCs w:val="32"/>
          <w:lang w:val="en-US" w:eastAsia="zh-CN"/>
        </w:rPr>
      </w:pPr>
    </w:p>
    <w:p w14:paraId="076E5486">
      <w:pPr>
        <w:keepNext/>
        <w:keepLines/>
        <w:pageBreakBefore w:val="0"/>
        <w:widowControl w:val="0"/>
        <w:kinsoku/>
        <w:wordWrap/>
        <w:overflowPunct/>
        <w:topLinePunct w:val="0"/>
        <w:autoSpaceDE/>
        <w:autoSpaceDN/>
        <w:bidi w:val="0"/>
        <w:adjustRightInd/>
        <w:snapToGrid/>
        <w:spacing w:line="578" w:lineRule="exact"/>
        <w:jc w:val="center"/>
        <w:textAlignment w:val="auto"/>
        <w:outlineLvl w:val="9"/>
        <w:rPr>
          <w:rFonts w:hint="eastAsia" w:ascii="宋体" w:hAnsi="宋体" w:cs="宋体"/>
          <w:b/>
          <w:bCs/>
          <w:sz w:val="32"/>
          <w:szCs w:val="32"/>
          <w:lang w:val="en-US" w:eastAsia="zh-CN"/>
        </w:rPr>
      </w:pPr>
    </w:p>
    <w:p w14:paraId="0DB70784">
      <w:pPr>
        <w:keepNext/>
        <w:keepLines/>
        <w:pageBreakBefore w:val="0"/>
        <w:widowControl w:val="0"/>
        <w:kinsoku/>
        <w:wordWrap/>
        <w:overflowPunct/>
        <w:topLinePunct w:val="0"/>
        <w:autoSpaceDE/>
        <w:autoSpaceDN/>
        <w:bidi w:val="0"/>
        <w:adjustRightInd/>
        <w:snapToGrid/>
        <w:spacing w:line="578" w:lineRule="exact"/>
        <w:jc w:val="center"/>
        <w:textAlignment w:val="auto"/>
        <w:outlineLvl w:val="9"/>
        <w:rPr>
          <w:rFonts w:hint="eastAsia" w:ascii="宋体" w:hAnsi="宋体" w:cs="宋体"/>
          <w:b/>
          <w:bCs/>
          <w:sz w:val="32"/>
          <w:szCs w:val="32"/>
          <w:lang w:val="en-US" w:eastAsia="zh-CN"/>
        </w:rPr>
      </w:pPr>
      <w:r>
        <w:rPr>
          <w:rFonts w:hint="eastAsia" w:ascii="宋体" w:hAnsi="宋体" w:cs="宋体"/>
          <w:b/>
          <w:bCs/>
          <w:sz w:val="32"/>
          <w:szCs w:val="32"/>
          <w:lang w:val="en-US" w:eastAsia="zh-CN"/>
        </w:rPr>
        <w:t>2025年3月</w:t>
      </w:r>
    </w:p>
    <w:p w14:paraId="3C66C830">
      <w:pPr>
        <w:keepNext/>
        <w:keepLines/>
        <w:pageBreakBefore w:val="0"/>
        <w:widowControl w:val="0"/>
        <w:kinsoku/>
        <w:wordWrap/>
        <w:overflowPunct/>
        <w:topLinePunct w:val="0"/>
        <w:autoSpaceDE/>
        <w:autoSpaceDN/>
        <w:bidi w:val="0"/>
        <w:adjustRightInd/>
        <w:snapToGrid/>
        <w:spacing w:line="578" w:lineRule="exact"/>
        <w:ind w:left="1151" w:hanging="1151"/>
        <w:textAlignment w:val="auto"/>
        <w:outlineLvl w:val="9"/>
        <w:rPr>
          <w:rFonts w:hint="default"/>
          <w:lang w:val="en-US" w:eastAsia="zh-CN"/>
        </w:rPr>
      </w:pPr>
    </w:p>
    <w:p w14:paraId="028B0CC3">
      <w:pPr>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rPr>
        <w:sectPr>
          <w:headerReference r:id="rId3" w:type="default"/>
          <w:pgSz w:w="11906" w:h="16838"/>
          <w:pgMar w:top="2041" w:right="1304" w:bottom="1701" w:left="1531" w:header="851" w:footer="992" w:gutter="0"/>
          <w:pgNumType w:fmt="numberInDash"/>
          <w:cols w:space="720" w:num="1"/>
          <w:docGrid w:type="lines" w:linePitch="312" w:charSpace="0"/>
        </w:sectPr>
      </w:pPr>
    </w:p>
    <w:sdt>
      <w:sdtPr>
        <w:rPr>
          <w:rFonts w:ascii="宋体" w:hAnsi="宋体" w:eastAsia="宋体" w:cs="黑体"/>
          <w:kern w:val="2"/>
          <w:sz w:val="21"/>
          <w:szCs w:val="22"/>
          <w:lang w:val="en-US" w:eastAsia="zh-CN" w:bidi="ar-SA"/>
        </w:rPr>
        <w:id w:val="147469282"/>
        <w15:color w:val="DBDBDB"/>
        <w:docPartObj>
          <w:docPartGallery w:val="Table of Contents"/>
          <w:docPartUnique/>
        </w:docPartObj>
      </w:sdtPr>
      <w:sdtEndPr>
        <w:rPr>
          <w:rFonts w:hint="eastAsia" w:ascii="宋体" w:hAnsi="宋体" w:eastAsia="宋体" w:cs="宋体"/>
          <w:b/>
          <w:bCs/>
          <w:kern w:val="2"/>
          <w:sz w:val="21"/>
          <w:szCs w:val="44"/>
          <w:lang w:val="en-US" w:eastAsia="zh-CN" w:bidi="ar-SA"/>
        </w:rPr>
      </w:sdtEndPr>
      <w:sdtContent>
        <w:p w14:paraId="7C58C43B">
          <w:pPr>
            <w:keepNext w:val="0"/>
            <w:keepLines w:val="0"/>
            <w:pageBreakBefore w:val="0"/>
            <w:widowControl w:val="0"/>
            <w:kinsoku/>
            <w:wordWrap/>
            <w:overflowPunct/>
            <w:topLinePunct w:val="0"/>
            <w:autoSpaceDE/>
            <w:autoSpaceDN/>
            <w:bidi w:val="0"/>
            <w:adjustRightInd/>
            <w:snapToGrid/>
            <w:spacing w:before="0" w:beforeLines="0" w:after="157" w:afterLines="50" w:line="240" w:lineRule="auto"/>
            <w:ind w:left="0" w:leftChars="0" w:right="0" w:rightChars="0" w:firstLine="0" w:firstLineChars="0"/>
            <w:jc w:val="center"/>
            <w:textAlignment w:val="auto"/>
            <w:outlineLvl w:val="9"/>
            <w:rPr>
              <w:rFonts w:ascii="宋体" w:hAnsi="宋体" w:eastAsia="宋体"/>
              <w:b/>
              <w:bCs/>
              <w:sz w:val="36"/>
              <w:szCs w:val="44"/>
            </w:rPr>
          </w:pPr>
          <w:r>
            <w:rPr>
              <w:rFonts w:ascii="宋体" w:hAnsi="宋体" w:eastAsia="宋体"/>
              <w:b/>
              <w:bCs/>
              <w:sz w:val="36"/>
              <w:szCs w:val="44"/>
            </w:rPr>
            <w:t>目</w:t>
          </w:r>
          <w:r>
            <w:rPr>
              <w:rFonts w:hint="eastAsia" w:ascii="宋体" w:hAnsi="宋体" w:eastAsia="宋体"/>
              <w:b/>
              <w:bCs/>
              <w:sz w:val="36"/>
              <w:szCs w:val="44"/>
              <w:lang w:val="en-US" w:eastAsia="zh-CN"/>
            </w:rPr>
            <w:t xml:space="preserve"> </w:t>
          </w:r>
          <w:r>
            <w:rPr>
              <w:rFonts w:ascii="宋体" w:hAnsi="宋体" w:eastAsia="宋体"/>
              <w:b/>
              <w:bCs/>
              <w:sz w:val="36"/>
              <w:szCs w:val="44"/>
            </w:rPr>
            <w:t>录</w:t>
          </w:r>
        </w:p>
        <w:p w14:paraId="7C3036B6">
          <w:pPr>
            <w:pStyle w:val="8"/>
            <w:tabs>
              <w:tab w:val="right" w:leader="dot" w:pos="8845"/>
            </w:tabs>
            <w:rPr>
              <w:sz w:val="28"/>
              <w:szCs w:val="32"/>
            </w:rPr>
          </w:pPr>
          <w:r>
            <w:rPr>
              <w:rFonts w:hint="eastAsia" w:ascii="宋体" w:hAnsi="宋体" w:cs="宋体"/>
              <w:b/>
              <w:bCs/>
              <w:sz w:val="56"/>
              <w:szCs w:val="56"/>
              <w:lang w:eastAsia="zh-CN"/>
            </w:rPr>
            <w:fldChar w:fldCharType="begin"/>
          </w:r>
          <w:r>
            <w:rPr>
              <w:rFonts w:hint="eastAsia" w:ascii="宋体" w:hAnsi="宋体" w:cs="宋体"/>
              <w:b/>
              <w:bCs/>
              <w:sz w:val="56"/>
              <w:szCs w:val="56"/>
              <w:lang w:eastAsia="zh-CN"/>
            </w:rPr>
            <w:instrText xml:space="preserve">TOC \o "1-2" \h \u </w:instrText>
          </w:r>
          <w:r>
            <w:rPr>
              <w:rFonts w:hint="eastAsia" w:ascii="宋体" w:hAnsi="宋体" w:cs="宋体"/>
              <w:b/>
              <w:bCs/>
              <w:sz w:val="56"/>
              <w:szCs w:val="56"/>
              <w:lang w:eastAsia="zh-CN"/>
            </w:rPr>
            <w:fldChar w:fldCharType="separate"/>
          </w: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_Toc20481 </w:instrText>
          </w:r>
          <w:r>
            <w:rPr>
              <w:rFonts w:hint="eastAsia" w:ascii="宋体" w:hAnsi="宋体" w:cs="宋体"/>
              <w:bCs/>
              <w:sz w:val="28"/>
              <w:szCs w:val="56"/>
              <w:lang w:eastAsia="zh-CN"/>
            </w:rPr>
            <w:fldChar w:fldCharType="separate"/>
          </w:r>
          <w:r>
            <w:rPr>
              <w:rFonts w:hint="eastAsia" w:ascii="黑体" w:hAnsi="黑体" w:eastAsia="黑体"/>
              <w:sz w:val="28"/>
              <w:szCs w:val="44"/>
            </w:rPr>
            <w:t>一、</w:t>
          </w:r>
          <w:r>
            <w:rPr>
              <w:rFonts w:hint="eastAsia" w:ascii="黑体" w:hAnsi="黑体" w:eastAsia="黑体"/>
              <w:sz w:val="28"/>
              <w:szCs w:val="44"/>
              <w:lang w:eastAsia="zh-CN"/>
            </w:rPr>
            <w:t>部门</w:t>
          </w:r>
          <w:r>
            <w:rPr>
              <w:rFonts w:hint="eastAsia" w:ascii="黑体" w:hAnsi="黑体" w:eastAsia="黑体"/>
              <w:sz w:val="28"/>
              <w:szCs w:val="44"/>
            </w:rPr>
            <w:t>基本情况</w:t>
          </w:r>
          <w:r>
            <w:rPr>
              <w:sz w:val="28"/>
              <w:szCs w:val="32"/>
            </w:rPr>
            <w:tab/>
          </w:r>
          <w:r>
            <w:rPr>
              <w:sz w:val="28"/>
              <w:szCs w:val="32"/>
            </w:rPr>
            <w:fldChar w:fldCharType="begin"/>
          </w:r>
          <w:r>
            <w:rPr>
              <w:sz w:val="28"/>
              <w:szCs w:val="32"/>
            </w:rPr>
            <w:instrText xml:space="preserve"> PAGEREF _Toc20481 \h </w:instrText>
          </w:r>
          <w:r>
            <w:rPr>
              <w:sz w:val="28"/>
              <w:szCs w:val="32"/>
            </w:rPr>
            <w:fldChar w:fldCharType="separate"/>
          </w:r>
          <w:r>
            <w:rPr>
              <w:sz w:val="28"/>
              <w:szCs w:val="32"/>
            </w:rPr>
            <w:t>- 1 -</w:t>
          </w:r>
          <w:r>
            <w:rPr>
              <w:sz w:val="28"/>
              <w:szCs w:val="32"/>
            </w:rPr>
            <w:fldChar w:fldCharType="end"/>
          </w:r>
          <w:r>
            <w:rPr>
              <w:rFonts w:hint="eastAsia" w:ascii="宋体" w:hAnsi="宋体" w:cs="宋体"/>
              <w:bCs/>
              <w:sz w:val="28"/>
              <w:szCs w:val="56"/>
              <w:lang w:eastAsia="zh-CN"/>
            </w:rPr>
            <w:fldChar w:fldCharType="end"/>
          </w:r>
        </w:p>
        <w:p w14:paraId="2871ACCD">
          <w:pPr>
            <w:pStyle w:val="9"/>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_Toc31670 </w:instrText>
          </w:r>
          <w:r>
            <w:rPr>
              <w:rFonts w:hint="eastAsia" w:ascii="宋体" w:hAnsi="宋体" w:cs="宋体"/>
              <w:bCs/>
              <w:sz w:val="28"/>
              <w:szCs w:val="56"/>
              <w:lang w:eastAsia="zh-CN"/>
            </w:rPr>
            <w:fldChar w:fldCharType="separate"/>
          </w:r>
          <w:r>
            <w:rPr>
              <w:rFonts w:hint="eastAsia" w:ascii="楷体" w:hAnsi="楷体" w:eastAsia="楷体" w:cs="楷体"/>
              <w:sz w:val="28"/>
              <w:szCs w:val="44"/>
            </w:rPr>
            <w:t>（一）</w:t>
          </w:r>
          <w:r>
            <w:rPr>
              <w:rFonts w:hint="eastAsia" w:ascii="楷体" w:hAnsi="楷体" w:eastAsia="楷体" w:cs="楷体"/>
              <w:sz w:val="28"/>
              <w:szCs w:val="44"/>
              <w:lang w:eastAsia="zh-CN"/>
            </w:rPr>
            <w:t>部门</w:t>
          </w:r>
          <w:r>
            <w:rPr>
              <w:rFonts w:hint="eastAsia" w:ascii="楷体" w:hAnsi="楷体" w:eastAsia="楷体" w:cs="楷体"/>
              <w:sz w:val="28"/>
              <w:szCs w:val="44"/>
            </w:rPr>
            <w:t>概况</w:t>
          </w:r>
          <w:r>
            <w:rPr>
              <w:sz w:val="28"/>
              <w:szCs w:val="32"/>
            </w:rPr>
            <w:tab/>
          </w:r>
          <w:r>
            <w:rPr>
              <w:sz w:val="28"/>
              <w:szCs w:val="32"/>
            </w:rPr>
            <w:fldChar w:fldCharType="begin"/>
          </w:r>
          <w:r>
            <w:rPr>
              <w:sz w:val="28"/>
              <w:szCs w:val="32"/>
            </w:rPr>
            <w:instrText xml:space="preserve"> PAGEREF _Toc31670 \h </w:instrText>
          </w:r>
          <w:r>
            <w:rPr>
              <w:sz w:val="28"/>
              <w:szCs w:val="32"/>
            </w:rPr>
            <w:fldChar w:fldCharType="separate"/>
          </w:r>
          <w:r>
            <w:rPr>
              <w:sz w:val="28"/>
              <w:szCs w:val="32"/>
            </w:rPr>
            <w:t>- 1 -</w:t>
          </w:r>
          <w:r>
            <w:rPr>
              <w:sz w:val="28"/>
              <w:szCs w:val="32"/>
            </w:rPr>
            <w:fldChar w:fldCharType="end"/>
          </w:r>
          <w:r>
            <w:rPr>
              <w:rFonts w:hint="eastAsia" w:ascii="宋体" w:hAnsi="宋体" w:cs="宋体"/>
              <w:bCs/>
              <w:sz w:val="28"/>
              <w:szCs w:val="56"/>
              <w:lang w:eastAsia="zh-CN"/>
            </w:rPr>
            <w:fldChar w:fldCharType="end"/>
          </w:r>
        </w:p>
        <w:p w14:paraId="3EDDB12B">
          <w:pPr>
            <w:pStyle w:val="9"/>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_Toc11866 </w:instrText>
          </w:r>
          <w:r>
            <w:rPr>
              <w:rFonts w:hint="eastAsia" w:ascii="宋体" w:hAnsi="宋体" w:cs="宋体"/>
              <w:bCs/>
              <w:sz w:val="28"/>
              <w:szCs w:val="56"/>
              <w:lang w:eastAsia="zh-CN"/>
            </w:rPr>
            <w:fldChar w:fldCharType="separate"/>
          </w:r>
          <w:r>
            <w:rPr>
              <w:rFonts w:hint="eastAsia" w:ascii="楷体" w:hAnsi="楷体" w:eastAsia="楷体" w:cs="楷体"/>
              <w:bCs w:val="0"/>
              <w:sz w:val="28"/>
              <w:szCs w:val="44"/>
              <w:highlight w:val="none"/>
              <w:lang w:eastAsia="zh-CN"/>
            </w:rPr>
            <w:t>（</w:t>
          </w:r>
          <w:r>
            <w:rPr>
              <w:rFonts w:hint="eastAsia" w:ascii="楷体" w:hAnsi="楷体" w:eastAsia="楷体" w:cs="楷体"/>
              <w:bCs w:val="0"/>
              <w:sz w:val="28"/>
              <w:szCs w:val="44"/>
              <w:highlight w:val="none"/>
              <w:lang w:val="en-US" w:eastAsia="zh-CN"/>
            </w:rPr>
            <w:t>二</w:t>
          </w:r>
          <w:r>
            <w:rPr>
              <w:rFonts w:hint="eastAsia" w:ascii="楷体" w:hAnsi="楷体" w:eastAsia="楷体" w:cs="楷体"/>
              <w:bCs w:val="0"/>
              <w:sz w:val="28"/>
              <w:szCs w:val="44"/>
              <w:highlight w:val="none"/>
              <w:lang w:eastAsia="zh-CN"/>
            </w:rPr>
            <w:t>）部门收支预决算情况</w:t>
          </w:r>
          <w:r>
            <w:rPr>
              <w:sz w:val="28"/>
              <w:szCs w:val="32"/>
            </w:rPr>
            <w:tab/>
          </w:r>
          <w:r>
            <w:rPr>
              <w:sz w:val="28"/>
              <w:szCs w:val="32"/>
            </w:rPr>
            <w:fldChar w:fldCharType="begin"/>
          </w:r>
          <w:r>
            <w:rPr>
              <w:sz w:val="28"/>
              <w:szCs w:val="32"/>
            </w:rPr>
            <w:instrText xml:space="preserve"> PAGEREF _Toc11866 \h </w:instrText>
          </w:r>
          <w:r>
            <w:rPr>
              <w:sz w:val="28"/>
              <w:szCs w:val="32"/>
            </w:rPr>
            <w:fldChar w:fldCharType="separate"/>
          </w:r>
          <w:r>
            <w:rPr>
              <w:sz w:val="28"/>
              <w:szCs w:val="32"/>
            </w:rPr>
            <w:t>- 3 -</w:t>
          </w:r>
          <w:r>
            <w:rPr>
              <w:sz w:val="28"/>
              <w:szCs w:val="32"/>
            </w:rPr>
            <w:fldChar w:fldCharType="end"/>
          </w:r>
          <w:r>
            <w:rPr>
              <w:rFonts w:hint="eastAsia" w:ascii="宋体" w:hAnsi="宋体" w:cs="宋体"/>
              <w:bCs/>
              <w:sz w:val="28"/>
              <w:szCs w:val="56"/>
              <w:lang w:eastAsia="zh-CN"/>
            </w:rPr>
            <w:fldChar w:fldCharType="end"/>
          </w:r>
        </w:p>
        <w:p w14:paraId="272F247F">
          <w:pPr>
            <w:pStyle w:val="9"/>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_Toc18649 </w:instrText>
          </w:r>
          <w:r>
            <w:rPr>
              <w:rFonts w:hint="eastAsia" w:ascii="宋体" w:hAnsi="宋体" w:cs="宋体"/>
              <w:bCs/>
              <w:sz w:val="28"/>
              <w:szCs w:val="56"/>
              <w:lang w:eastAsia="zh-CN"/>
            </w:rPr>
            <w:fldChar w:fldCharType="separate"/>
          </w:r>
          <w:r>
            <w:rPr>
              <w:rFonts w:hint="eastAsia" w:ascii="楷体" w:hAnsi="楷体" w:eastAsia="楷体" w:cs="楷体"/>
              <w:bCs w:val="0"/>
              <w:sz w:val="28"/>
              <w:szCs w:val="44"/>
              <w:lang w:eastAsia="zh-CN"/>
            </w:rPr>
            <w:t>（三）部门整体支出绩效目标、指标</w:t>
          </w:r>
          <w:r>
            <w:rPr>
              <w:sz w:val="28"/>
              <w:szCs w:val="32"/>
            </w:rPr>
            <w:tab/>
          </w:r>
          <w:r>
            <w:rPr>
              <w:sz w:val="28"/>
              <w:szCs w:val="32"/>
            </w:rPr>
            <w:fldChar w:fldCharType="begin"/>
          </w:r>
          <w:r>
            <w:rPr>
              <w:sz w:val="28"/>
              <w:szCs w:val="32"/>
            </w:rPr>
            <w:instrText xml:space="preserve"> PAGEREF _Toc18649 \h </w:instrText>
          </w:r>
          <w:r>
            <w:rPr>
              <w:sz w:val="28"/>
              <w:szCs w:val="32"/>
            </w:rPr>
            <w:fldChar w:fldCharType="separate"/>
          </w:r>
          <w:r>
            <w:rPr>
              <w:sz w:val="28"/>
              <w:szCs w:val="32"/>
            </w:rPr>
            <w:t>- 4 -</w:t>
          </w:r>
          <w:r>
            <w:rPr>
              <w:sz w:val="28"/>
              <w:szCs w:val="32"/>
            </w:rPr>
            <w:fldChar w:fldCharType="end"/>
          </w:r>
          <w:r>
            <w:rPr>
              <w:rFonts w:hint="eastAsia" w:ascii="宋体" w:hAnsi="宋体" w:cs="宋体"/>
              <w:bCs/>
              <w:sz w:val="28"/>
              <w:szCs w:val="56"/>
              <w:lang w:eastAsia="zh-CN"/>
            </w:rPr>
            <w:fldChar w:fldCharType="end"/>
          </w:r>
        </w:p>
        <w:p w14:paraId="13C7E39F">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_Toc9990 </w:instrText>
          </w:r>
          <w:r>
            <w:rPr>
              <w:rFonts w:hint="eastAsia" w:ascii="宋体" w:hAnsi="宋体" w:cs="宋体"/>
              <w:bCs/>
              <w:sz w:val="28"/>
              <w:szCs w:val="56"/>
              <w:lang w:eastAsia="zh-CN"/>
            </w:rPr>
            <w:fldChar w:fldCharType="separate"/>
          </w:r>
          <w:r>
            <w:rPr>
              <w:rFonts w:hint="eastAsia" w:ascii="黑体" w:hAnsi="黑体" w:eastAsia="黑体"/>
              <w:sz w:val="28"/>
              <w:szCs w:val="44"/>
            </w:rPr>
            <w:t>二、</w:t>
          </w:r>
          <w:r>
            <w:rPr>
              <w:rFonts w:hint="eastAsia" w:ascii="黑体" w:hAnsi="黑体" w:eastAsia="黑体"/>
              <w:sz w:val="28"/>
              <w:szCs w:val="44"/>
              <w:highlight w:val="none"/>
            </w:rPr>
            <w:t>自评工作</w:t>
          </w:r>
          <w:r>
            <w:rPr>
              <w:rFonts w:hint="eastAsia" w:ascii="黑体" w:hAnsi="黑体" w:eastAsia="黑体"/>
              <w:sz w:val="28"/>
              <w:szCs w:val="44"/>
              <w:highlight w:val="none"/>
              <w:lang w:eastAsia="zh-CN"/>
            </w:rPr>
            <w:t>开展</w:t>
          </w:r>
          <w:r>
            <w:rPr>
              <w:rFonts w:hint="eastAsia" w:ascii="黑体" w:hAnsi="黑体" w:eastAsia="黑体"/>
              <w:sz w:val="28"/>
              <w:szCs w:val="44"/>
              <w:highlight w:val="none"/>
            </w:rPr>
            <w:t>情况</w:t>
          </w:r>
          <w:r>
            <w:rPr>
              <w:sz w:val="28"/>
              <w:szCs w:val="32"/>
            </w:rPr>
            <w:tab/>
          </w:r>
          <w:r>
            <w:rPr>
              <w:sz w:val="28"/>
              <w:szCs w:val="32"/>
            </w:rPr>
            <w:fldChar w:fldCharType="begin"/>
          </w:r>
          <w:r>
            <w:rPr>
              <w:sz w:val="28"/>
              <w:szCs w:val="32"/>
            </w:rPr>
            <w:instrText xml:space="preserve"> PAGEREF _Toc9990 \h </w:instrText>
          </w:r>
          <w:r>
            <w:rPr>
              <w:sz w:val="28"/>
              <w:szCs w:val="32"/>
            </w:rPr>
            <w:fldChar w:fldCharType="separate"/>
          </w:r>
          <w:r>
            <w:rPr>
              <w:sz w:val="28"/>
              <w:szCs w:val="32"/>
            </w:rPr>
            <w:t>- 7 -</w:t>
          </w:r>
          <w:r>
            <w:rPr>
              <w:sz w:val="28"/>
              <w:szCs w:val="32"/>
            </w:rPr>
            <w:fldChar w:fldCharType="end"/>
          </w:r>
          <w:r>
            <w:rPr>
              <w:rFonts w:hint="eastAsia" w:ascii="宋体" w:hAnsi="宋体" w:cs="宋体"/>
              <w:bCs/>
              <w:sz w:val="28"/>
              <w:szCs w:val="56"/>
              <w:lang w:eastAsia="zh-CN"/>
            </w:rPr>
            <w:fldChar w:fldCharType="end"/>
          </w:r>
        </w:p>
        <w:p w14:paraId="343B98CC">
          <w:pPr>
            <w:pStyle w:val="9"/>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_Toc29873 </w:instrText>
          </w:r>
          <w:r>
            <w:rPr>
              <w:rFonts w:hint="eastAsia" w:ascii="宋体" w:hAnsi="宋体" w:cs="宋体"/>
              <w:bCs/>
              <w:sz w:val="28"/>
              <w:szCs w:val="56"/>
              <w:lang w:eastAsia="zh-CN"/>
            </w:rPr>
            <w:fldChar w:fldCharType="separate"/>
          </w:r>
          <w:r>
            <w:rPr>
              <w:rFonts w:hint="eastAsia" w:ascii="楷体" w:hAnsi="楷体" w:eastAsia="楷体" w:cs="楷体"/>
              <w:bCs w:val="0"/>
              <w:sz w:val="28"/>
              <w:szCs w:val="44"/>
              <w:highlight w:val="none"/>
              <w:lang w:eastAsia="zh-CN"/>
            </w:rPr>
            <w:t>（一）自评的组织工作</w:t>
          </w:r>
          <w:r>
            <w:rPr>
              <w:sz w:val="28"/>
              <w:szCs w:val="32"/>
            </w:rPr>
            <w:tab/>
          </w:r>
          <w:r>
            <w:rPr>
              <w:sz w:val="28"/>
              <w:szCs w:val="32"/>
            </w:rPr>
            <w:fldChar w:fldCharType="begin"/>
          </w:r>
          <w:r>
            <w:rPr>
              <w:sz w:val="28"/>
              <w:szCs w:val="32"/>
            </w:rPr>
            <w:instrText xml:space="preserve"> PAGEREF _Toc29873 \h </w:instrText>
          </w:r>
          <w:r>
            <w:rPr>
              <w:sz w:val="28"/>
              <w:szCs w:val="32"/>
            </w:rPr>
            <w:fldChar w:fldCharType="separate"/>
          </w:r>
          <w:r>
            <w:rPr>
              <w:sz w:val="28"/>
              <w:szCs w:val="32"/>
            </w:rPr>
            <w:t>- 7 -</w:t>
          </w:r>
          <w:r>
            <w:rPr>
              <w:sz w:val="28"/>
              <w:szCs w:val="32"/>
            </w:rPr>
            <w:fldChar w:fldCharType="end"/>
          </w:r>
          <w:r>
            <w:rPr>
              <w:rFonts w:hint="eastAsia" w:ascii="宋体" w:hAnsi="宋体" w:cs="宋体"/>
              <w:bCs/>
              <w:sz w:val="28"/>
              <w:szCs w:val="56"/>
              <w:lang w:eastAsia="zh-CN"/>
            </w:rPr>
            <w:fldChar w:fldCharType="end"/>
          </w:r>
        </w:p>
        <w:p w14:paraId="40A867EE">
          <w:pPr>
            <w:pStyle w:val="9"/>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_Toc16269 </w:instrText>
          </w:r>
          <w:r>
            <w:rPr>
              <w:rFonts w:hint="eastAsia" w:ascii="宋体" w:hAnsi="宋体" w:cs="宋体"/>
              <w:bCs/>
              <w:sz w:val="28"/>
              <w:szCs w:val="56"/>
              <w:lang w:eastAsia="zh-CN"/>
            </w:rPr>
            <w:fldChar w:fldCharType="separate"/>
          </w:r>
          <w:r>
            <w:rPr>
              <w:rFonts w:hint="eastAsia" w:ascii="楷体" w:hAnsi="楷体" w:eastAsia="楷体" w:cs="楷体"/>
              <w:bCs w:val="0"/>
              <w:sz w:val="28"/>
              <w:szCs w:val="44"/>
              <w:highlight w:val="none"/>
              <w:lang w:eastAsia="zh-CN"/>
            </w:rPr>
            <w:t>（</w:t>
          </w:r>
          <w:r>
            <w:rPr>
              <w:rFonts w:hint="eastAsia" w:ascii="楷体" w:hAnsi="楷体" w:eastAsia="楷体" w:cs="楷体"/>
              <w:bCs w:val="0"/>
              <w:sz w:val="28"/>
              <w:szCs w:val="44"/>
              <w:highlight w:val="none"/>
              <w:lang w:val="en-US" w:eastAsia="zh-CN"/>
            </w:rPr>
            <w:t>二</w:t>
          </w:r>
          <w:r>
            <w:rPr>
              <w:rFonts w:hint="eastAsia" w:ascii="楷体" w:hAnsi="楷体" w:eastAsia="楷体" w:cs="楷体"/>
              <w:bCs w:val="0"/>
              <w:sz w:val="28"/>
              <w:szCs w:val="44"/>
              <w:highlight w:val="none"/>
              <w:lang w:eastAsia="zh-CN"/>
            </w:rPr>
            <w:t>）绩效自评目的</w:t>
          </w:r>
          <w:r>
            <w:rPr>
              <w:sz w:val="28"/>
              <w:szCs w:val="32"/>
            </w:rPr>
            <w:tab/>
          </w:r>
          <w:r>
            <w:rPr>
              <w:sz w:val="28"/>
              <w:szCs w:val="32"/>
            </w:rPr>
            <w:fldChar w:fldCharType="begin"/>
          </w:r>
          <w:r>
            <w:rPr>
              <w:sz w:val="28"/>
              <w:szCs w:val="32"/>
            </w:rPr>
            <w:instrText xml:space="preserve"> PAGEREF _Toc16269 \h </w:instrText>
          </w:r>
          <w:r>
            <w:rPr>
              <w:sz w:val="28"/>
              <w:szCs w:val="32"/>
            </w:rPr>
            <w:fldChar w:fldCharType="separate"/>
          </w:r>
          <w:r>
            <w:rPr>
              <w:sz w:val="28"/>
              <w:szCs w:val="32"/>
            </w:rPr>
            <w:t>- 8 -</w:t>
          </w:r>
          <w:r>
            <w:rPr>
              <w:sz w:val="28"/>
              <w:szCs w:val="32"/>
            </w:rPr>
            <w:fldChar w:fldCharType="end"/>
          </w:r>
          <w:r>
            <w:rPr>
              <w:rFonts w:hint="eastAsia" w:ascii="宋体" w:hAnsi="宋体" w:cs="宋体"/>
              <w:bCs/>
              <w:sz w:val="28"/>
              <w:szCs w:val="56"/>
              <w:lang w:eastAsia="zh-CN"/>
            </w:rPr>
            <w:fldChar w:fldCharType="end"/>
          </w:r>
        </w:p>
        <w:p w14:paraId="048C6347">
          <w:pPr>
            <w:pStyle w:val="9"/>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_Toc15885 </w:instrText>
          </w:r>
          <w:r>
            <w:rPr>
              <w:rFonts w:hint="eastAsia" w:ascii="宋体" w:hAnsi="宋体" w:cs="宋体"/>
              <w:bCs/>
              <w:sz w:val="28"/>
              <w:szCs w:val="56"/>
              <w:lang w:eastAsia="zh-CN"/>
            </w:rPr>
            <w:fldChar w:fldCharType="separate"/>
          </w:r>
          <w:r>
            <w:rPr>
              <w:rFonts w:hint="eastAsia" w:ascii="楷体" w:hAnsi="楷体" w:eastAsia="楷体" w:cs="楷体"/>
              <w:bCs w:val="0"/>
              <w:sz w:val="28"/>
              <w:szCs w:val="44"/>
              <w:highlight w:val="none"/>
              <w:lang w:eastAsia="zh-CN"/>
            </w:rPr>
            <w:t>（</w:t>
          </w:r>
          <w:r>
            <w:rPr>
              <w:rFonts w:hint="eastAsia" w:ascii="楷体" w:hAnsi="楷体" w:eastAsia="楷体" w:cs="楷体"/>
              <w:bCs w:val="0"/>
              <w:sz w:val="28"/>
              <w:szCs w:val="44"/>
              <w:highlight w:val="none"/>
              <w:lang w:val="en-US" w:eastAsia="zh-CN"/>
            </w:rPr>
            <w:t>三</w:t>
          </w:r>
          <w:r>
            <w:rPr>
              <w:rFonts w:hint="eastAsia" w:ascii="楷体" w:hAnsi="楷体" w:eastAsia="楷体" w:cs="楷体"/>
              <w:bCs w:val="0"/>
              <w:sz w:val="28"/>
              <w:szCs w:val="44"/>
              <w:highlight w:val="none"/>
              <w:lang w:eastAsia="zh-CN"/>
            </w:rPr>
            <w:t>）绩效自评内容</w:t>
          </w:r>
          <w:r>
            <w:rPr>
              <w:sz w:val="28"/>
              <w:szCs w:val="32"/>
            </w:rPr>
            <w:tab/>
          </w:r>
          <w:r>
            <w:rPr>
              <w:sz w:val="28"/>
              <w:szCs w:val="32"/>
            </w:rPr>
            <w:fldChar w:fldCharType="begin"/>
          </w:r>
          <w:r>
            <w:rPr>
              <w:sz w:val="28"/>
              <w:szCs w:val="32"/>
            </w:rPr>
            <w:instrText xml:space="preserve"> PAGEREF _Toc15885 \h </w:instrText>
          </w:r>
          <w:r>
            <w:rPr>
              <w:sz w:val="28"/>
              <w:szCs w:val="32"/>
            </w:rPr>
            <w:fldChar w:fldCharType="separate"/>
          </w:r>
          <w:r>
            <w:rPr>
              <w:sz w:val="28"/>
              <w:szCs w:val="32"/>
            </w:rPr>
            <w:t>- 8 -</w:t>
          </w:r>
          <w:r>
            <w:rPr>
              <w:sz w:val="28"/>
              <w:szCs w:val="32"/>
            </w:rPr>
            <w:fldChar w:fldCharType="end"/>
          </w:r>
          <w:r>
            <w:rPr>
              <w:rFonts w:hint="eastAsia" w:ascii="宋体" w:hAnsi="宋体" w:cs="宋体"/>
              <w:bCs/>
              <w:sz w:val="28"/>
              <w:szCs w:val="56"/>
              <w:lang w:eastAsia="zh-CN"/>
            </w:rPr>
            <w:fldChar w:fldCharType="end"/>
          </w:r>
        </w:p>
        <w:p w14:paraId="19DB708C">
          <w:pPr>
            <w:pStyle w:val="9"/>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_Toc30020 </w:instrText>
          </w:r>
          <w:r>
            <w:rPr>
              <w:rFonts w:hint="eastAsia" w:ascii="宋体" w:hAnsi="宋体" w:cs="宋体"/>
              <w:bCs/>
              <w:sz w:val="28"/>
              <w:szCs w:val="56"/>
              <w:lang w:eastAsia="zh-CN"/>
            </w:rPr>
            <w:fldChar w:fldCharType="separate"/>
          </w:r>
          <w:r>
            <w:rPr>
              <w:rFonts w:hint="eastAsia" w:ascii="楷体" w:hAnsi="楷体" w:eastAsia="楷体" w:cs="楷体"/>
              <w:bCs w:val="0"/>
              <w:sz w:val="28"/>
              <w:szCs w:val="44"/>
              <w:highlight w:val="none"/>
              <w:lang w:eastAsia="zh-CN"/>
            </w:rPr>
            <w:t>（</w:t>
          </w:r>
          <w:r>
            <w:rPr>
              <w:rFonts w:hint="eastAsia" w:ascii="楷体" w:hAnsi="楷体" w:eastAsia="楷体" w:cs="楷体"/>
              <w:bCs w:val="0"/>
              <w:sz w:val="28"/>
              <w:szCs w:val="44"/>
              <w:highlight w:val="none"/>
              <w:lang w:val="en-US" w:eastAsia="zh-CN"/>
            </w:rPr>
            <w:t>四</w:t>
          </w:r>
          <w:r>
            <w:rPr>
              <w:rFonts w:hint="eastAsia" w:ascii="楷体" w:hAnsi="楷体" w:eastAsia="楷体" w:cs="楷体"/>
              <w:bCs w:val="0"/>
              <w:sz w:val="28"/>
              <w:szCs w:val="44"/>
              <w:highlight w:val="none"/>
              <w:lang w:eastAsia="zh-CN"/>
            </w:rPr>
            <w:t>）自评的方法</w:t>
          </w:r>
          <w:r>
            <w:rPr>
              <w:sz w:val="28"/>
              <w:szCs w:val="32"/>
            </w:rPr>
            <w:tab/>
          </w:r>
          <w:r>
            <w:rPr>
              <w:sz w:val="28"/>
              <w:szCs w:val="32"/>
            </w:rPr>
            <w:fldChar w:fldCharType="begin"/>
          </w:r>
          <w:r>
            <w:rPr>
              <w:sz w:val="28"/>
              <w:szCs w:val="32"/>
            </w:rPr>
            <w:instrText xml:space="preserve"> PAGEREF _Toc30020 \h </w:instrText>
          </w:r>
          <w:r>
            <w:rPr>
              <w:sz w:val="28"/>
              <w:szCs w:val="32"/>
            </w:rPr>
            <w:fldChar w:fldCharType="separate"/>
          </w:r>
          <w:r>
            <w:rPr>
              <w:sz w:val="28"/>
              <w:szCs w:val="32"/>
            </w:rPr>
            <w:t>- 8 -</w:t>
          </w:r>
          <w:r>
            <w:rPr>
              <w:sz w:val="28"/>
              <w:szCs w:val="32"/>
            </w:rPr>
            <w:fldChar w:fldCharType="end"/>
          </w:r>
          <w:r>
            <w:rPr>
              <w:rFonts w:hint="eastAsia" w:ascii="宋体" w:hAnsi="宋体" w:cs="宋体"/>
              <w:bCs/>
              <w:sz w:val="28"/>
              <w:szCs w:val="56"/>
              <w:lang w:eastAsia="zh-CN"/>
            </w:rPr>
            <w:fldChar w:fldCharType="end"/>
          </w:r>
        </w:p>
        <w:p w14:paraId="3CC3CD97">
          <w:pPr>
            <w:pStyle w:val="9"/>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_Toc1964 </w:instrText>
          </w:r>
          <w:r>
            <w:rPr>
              <w:rFonts w:hint="eastAsia" w:ascii="宋体" w:hAnsi="宋体" w:cs="宋体"/>
              <w:bCs/>
              <w:sz w:val="28"/>
              <w:szCs w:val="56"/>
              <w:lang w:eastAsia="zh-CN"/>
            </w:rPr>
            <w:fldChar w:fldCharType="separate"/>
          </w:r>
          <w:r>
            <w:rPr>
              <w:rFonts w:hint="eastAsia" w:ascii="楷体" w:hAnsi="楷体" w:eastAsia="楷体" w:cs="楷体"/>
              <w:bCs w:val="0"/>
              <w:sz w:val="28"/>
              <w:szCs w:val="44"/>
              <w:highlight w:val="none"/>
              <w:lang w:eastAsia="zh-CN"/>
            </w:rPr>
            <w:t>（</w:t>
          </w:r>
          <w:r>
            <w:rPr>
              <w:rFonts w:hint="eastAsia" w:ascii="楷体" w:hAnsi="楷体" w:eastAsia="楷体" w:cs="楷体"/>
              <w:bCs w:val="0"/>
              <w:sz w:val="28"/>
              <w:szCs w:val="44"/>
              <w:highlight w:val="none"/>
              <w:lang w:val="en-US" w:eastAsia="zh-CN"/>
            </w:rPr>
            <w:t>五</w:t>
          </w:r>
          <w:r>
            <w:rPr>
              <w:rFonts w:hint="eastAsia" w:ascii="楷体" w:hAnsi="楷体" w:eastAsia="楷体" w:cs="楷体"/>
              <w:bCs w:val="0"/>
              <w:sz w:val="28"/>
              <w:szCs w:val="44"/>
              <w:highlight w:val="none"/>
              <w:lang w:eastAsia="zh-CN"/>
            </w:rPr>
            <w:t>）绩效自评</w:t>
          </w:r>
          <w:r>
            <w:rPr>
              <w:rFonts w:hint="eastAsia" w:ascii="楷体" w:hAnsi="楷体" w:eastAsia="楷体" w:cs="楷体"/>
              <w:bCs w:val="0"/>
              <w:sz w:val="28"/>
              <w:szCs w:val="44"/>
              <w:highlight w:val="none"/>
              <w:lang w:val="en-US" w:eastAsia="zh-CN"/>
            </w:rPr>
            <w:t>过程</w:t>
          </w:r>
          <w:r>
            <w:rPr>
              <w:sz w:val="28"/>
              <w:szCs w:val="32"/>
            </w:rPr>
            <w:tab/>
          </w:r>
          <w:r>
            <w:rPr>
              <w:sz w:val="28"/>
              <w:szCs w:val="32"/>
            </w:rPr>
            <w:fldChar w:fldCharType="begin"/>
          </w:r>
          <w:r>
            <w:rPr>
              <w:sz w:val="28"/>
              <w:szCs w:val="32"/>
            </w:rPr>
            <w:instrText xml:space="preserve"> PAGEREF _Toc1964 \h </w:instrText>
          </w:r>
          <w:r>
            <w:rPr>
              <w:sz w:val="28"/>
              <w:szCs w:val="32"/>
            </w:rPr>
            <w:fldChar w:fldCharType="separate"/>
          </w:r>
          <w:r>
            <w:rPr>
              <w:sz w:val="28"/>
              <w:szCs w:val="32"/>
            </w:rPr>
            <w:t>- 9 -</w:t>
          </w:r>
          <w:r>
            <w:rPr>
              <w:sz w:val="28"/>
              <w:szCs w:val="32"/>
            </w:rPr>
            <w:fldChar w:fldCharType="end"/>
          </w:r>
          <w:r>
            <w:rPr>
              <w:rFonts w:hint="eastAsia" w:ascii="宋体" w:hAnsi="宋体" w:cs="宋体"/>
              <w:bCs/>
              <w:sz w:val="28"/>
              <w:szCs w:val="56"/>
              <w:lang w:eastAsia="zh-CN"/>
            </w:rPr>
            <w:fldChar w:fldCharType="end"/>
          </w:r>
        </w:p>
        <w:p w14:paraId="0F5037EB">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_Toc30653 </w:instrText>
          </w:r>
          <w:r>
            <w:rPr>
              <w:rFonts w:hint="eastAsia" w:ascii="宋体" w:hAnsi="宋体" w:cs="宋体"/>
              <w:bCs/>
              <w:sz w:val="28"/>
              <w:szCs w:val="56"/>
              <w:lang w:eastAsia="zh-CN"/>
            </w:rPr>
            <w:fldChar w:fldCharType="separate"/>
          </w:r>
          <w:r>
            <w:rPr>
              <w:rFonts w:hint="eastAsia" w:ascii="黑体" w:hAnsi="黑体" w:eastAsia="黑体"/>
              <w:sz w:val="28"/>
              <w:szCs w:val="44"/>
              <w:highlight w:val="none"/>
            </w:rPr>
            <w:t>三、</w:t>
          </w:r>
          <w:r>
            <w:rPr>
              <w:rFonts w:hint="eastAsia" w:ascii="黑体" w:hAnsi="黑体" w:eastAsia="黑体"/>
              <w:sz w:val="28"/>
              <w:szCs w:val="44"/>
              <w:highlight w:val="none"/>
              <w:lang w:eastAsia="zh-CN"/>
            </w:rPr>
            <w:t>部门整体支出</w:t>
          </w:r>
          <w:r>
            <w:rPr>
              <w:rFonts w:hint="eastAsia" w:ascii="黑体" w:hAnsi="黑体" w:eastAsia="黑体"/>
              <w:sz w:val="28"/>
              <w:szCs w:val="44"/>
              <w:highlight w:val="none"/>
            </w:rPr>
            <w:t>绩效</w:t>
          </w:r>
          <w:r>
            <w:rPr>
              <w:rFonts w:hint="eastAsia" w:ascii="黑体" w:hAnsi="黑体" w:eastAsia="黑体"/>
              <w:sz w:val="28"/>
              <w:szCs w:val="44"/>
              <w:highlight w:val="none"/>
              <w:lang w:eastAsia="zh-CN"/>
            </w:rPr>
            <w:t>目标实现情况及指标分析</w:t>
          </w:r>
          <w:r>
            <w:rPr>
              <w:sz w:val="28"/>
              <w:szCs w:val="32"/>
            </w:rPr>
            <w:tab/>
          </w:r>
          <w:r>
            <w:rPr>
              <w:sz w:val="28"/>
              <w:szCs w:val="32"/>
            </w:rPr>
            <w:fldChar w:fldCharType="begin"/>
          </w:r>
          <w:r>
            <w:rPr>
              <w:sz w:val="28"/>
              <w:szCs w:val="32"/>
            </w:rPr>
            <w:instrText xml:space="preserve"> PAGEREF _Toc30653 \h </w:instrText>
          </w:r>
          <w:r>
            <w:rPr>
              <w:sz w:val="28"/>
              <w:szCs w:val="32"/>
            </w:rPr>
            <w:fldChar w:fldCharType="separate"/>
          </w:r>
          <w:r>
            <w:rPr>
              <w:sz w:val="28"/>
              <w:szCs w:val="32"/>
            </w:rPr>
            <w:t>- 9 -</w:t>
          </w:r>
          <w:r>
            <w:rPr>
              <w:sz w:val="28"/>
              <w:szCs w:val="32"/>
            </w:rPr>
            <w:fldChar w:fldCharType="end"/>
          </w:r>
          <w:r>
            <w:rPr>
              <w:rFonts w:hint="eastAsia" w:ascii="宋体" w:hAnsi="宋体" w:cs="宋体"/>
              <w:bCs/>
              <w:sz w:val="28"/>
              <w:szCs w:val="56"/>
              <w:lang w:eastAsia="zh-CN"/>
            </w:rPr>
            <w:fldChar w:fldCharType="end"/>
          </w:r>
        </w:p>
        <w:p w14:paraId="4CE3F85B">
          <w:pPr>
            <w:pStyle w:val="9"/>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_Toc865 </w:instrText>
          </w:r>
          <w:r>
            <w:rPr>
              <w:rFonts w:hint="eastAsia" w:ascii="宋体" w:hAnsi="宋体" w:cs="宋体"/>
              <w:bCs/>
              <w:sz w:val="28"/>
              <w:szCs w:val="56"/>
              <w:lang w:eastAsia="zh-CN"/>
            </w:rPr>
            <w:fldChar w:fldCharType="separate"/>
          </w:r>
          <w:r>
            <w:rPr>
              <w:rFonts w:hint="eastAsia" w:ascii="楷体" w:hAnsi="楷体" w:eastAsia="楷体" w:cs="楷体"/>
              <w:bCs w:val="0"/>
              <w:sz w:val="28"/>
              <w:szCs w:val="44"/>
            </w:rPr>
            <w:t>（一）</w:t>
          </w:r>
          <w:r>
            <w:rPr>
              <w:rFonts w:hint="eastAsia" w:ascii="楷体" w:hAnsi="楷体" w:eastAsia="楷体" w:cs="楷体"/>
              <w:bCs w:val="0"/>
              <w:sz w:val="28"/>
              <w:szCs w:val="44"/>
              <w:highlight w:val="none"/>
              <w:lang w:eastAsia="zh-CN"/>
            </w:rPr>
            <w:t>总体绩效目标实现情况</w:t>
          </w:r>
          <w:r>
            <w:rPr>
              <w:sz w:val="28"/>
              <w:szCs w:val="32"/>
            </w:rPr>
            <w:tab/>
          </w:r>
          <w:r>
            <w:rPr>
              <w:sz w:val="28"/>
              <w:szCs w:val="32"/>
            </w:rPr>
            <w:fldChar w:fldCharType="begin"/>
          </w:r>
          <w:r>
            <w:rPr>
              <w:sz w:val="28"/>
              <w:szCs w:val="32"/>
            </w:rPr>
            <w:instrText xml:space="preserve"> PAGEREF _Toc865 \h </w:instrText>
          </w:r>
          <w:r>
            <w:rPr>
              <w:sz w:val="28"/>
              <w:szCs w:val="32"/>
            </w:rPr>
            <w:fldChar w:fldCharType="separate"/>
          </w:r>
          <w:r>
            <w:rPr>
              <w:sz w:val="28"/>
              <w:szCs w:val="32"/>
            </w:rPr>
            <w:t>- 9 -</w:t>
          </w:r>
          <w:r>
            <w:rPr>
              <w:sz w:val="28"/>
              <w:szCs w:val="32"/>
            </w:rPr>
            <w:fldChar w:fldCharType="end"/>
          </w:r>
          <w:r>
            <w:rPr>
              <w:rFonts w:hint="eastAsia" w:ascii="宋体" w:hAnsi="宋体" w:cs="宋体"/>
              <w:bCs/>
              <w:sz w:val="28"/>
              <w:szCs w:val="56"/>
              <w:lang w:eastAsia="zh-CN"/>
            </w:rPr>
            <w:fldChar w:fldCharType="end"/>
          </w:r>
        </w:p>
        <w:p w14:paraId="1F347038">
          <w:pPr>
            <w:pStyle w:val="9"/>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_Toc6115 </w:instrText>
          </w:r>
          <w:r>
            <w:rPr>
              <w:rFonts w:hint="eastAsia" w:ascii="宋体" w:hAnsi="宋体" w:cs="宋体"/>
              <w:bCs/>
              <w:sz w:val="28"/>
              <w:szCs w:val="56"/>
              <w:lang w:eastAsia="zh-CN"/>
            </w:rPr>
            <w:fldChar w:fldCharType="separate"/>
          </w:r>
          <w:r>
            <w:rPr>
              <w:rFonts w:hint="eastAsia" w:ascii="楷体" w:hAnsi="楷体" w:eastAsia="楷体" w:cs="楷体"/>
              <w:bCs w:val="0"/>
              <w:sz w:val="28"/>
              <w:szCs w:val="44"/>
              <w:lang w:eastAsia="zh-CN"/>
            </w:rPr>
            <w:t>（二）</w:t>
          </w:r>
          <w:r>
            <w:rPr>
              <w:rFonts w:hint="eastAsia" w:ascii="楷体" w:hAnsi="楷体" w:eastAsia="楷体" w:cs="楷体"/>
              <w:bCs w:val="0"/>
              <w:sz w:val="28"/>
              <w:szCs w:val="44"/>
              <w:highlight w:val="none"/>
              <w:lang w:eastAsia="zh-CN"/>
            </w:rPr>
            <w:t>分项绩效目标实现情况及指标分析</w:t>
          </w:r>
          <w:r>
            <w:rPr>
              <w:sz w:val="28"/>
              <w:szCs w:val="32"/>
            </w:rPr>
            <w:tab/>
          </w:r>
          <w:r>
            <w:rPr>
              <w:sz w:val="28"/>
              <w:szCs w:val="32"/>
            </w:rPr>
            <w:fldChar w:fldCharType="begin"/>
          </w:r>
          <w:r>
            <w:rPr>
              <w:sz w:val="28"/>
              <w:szCs w:val="32"/>
            </w:rPr>
            <w:instrText xml:space="preserve"> PAGEREF _Toc6115 \h </w:instrText>
          </w:r>
          <w:r>
            <w:rPr>
              <w:sz w:val="28"/>
              <w:szCs w:val="32"/>
            </w:rPr>
            <w:fldChar w:fldCharType="separate"/>
          </w:r>
          <w:r>
            <w:rPr>
              <w:sz w:val="28"/>
              <w:szCs w:val="32"/>
            </w:rPr>
            <w:t>- 10 -</w:t>
          </w:r>
          <w:r>
            <w:rPr>
              <w:sz w:val="28"/>
              <w:szCs w:val="32"/>
            </w:rPr>
            <w:fldChar w:fldCharType="end"/>
          </w:r>
          <w:r>
            <w:rPr>
              <w:rFonts w:hint="eastAsia" w:ascii="宋体" w:hAnsi="宋体" w:cs="宋体"/>
              <w:bCs/>
              <w:sz w:val="28"/>
              <w:szCs w:val="56"/>
              <w:lang w:eastAsia="zh-CN"/>
            </w:rPr>
            <w:fldChar w:fldCharType="end"/>
          </w:r>
        </w:p>
        <w:p w14:paraId="197A601D">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_Toc4931 </w:instrText>
          </w:r>
          <w:r>
            <w:rPr>
              <w:rFonts w:hint="eastAsia" w:ascii="宋体" w:hAnsi="宋体" w:cs="宋体"/>
              <w:bCs/>
              <w:sz w:val="28"/>
              <w:szCs w:val="56"/>
              <w:lang w:eastAsia="zh-CN"/>
            </w:rPr>
            <w:fldChar w:fldCharType="separate"/>
          </w:r>
          <w:r>
            <w:rPr>
              <w:rFonts w:hint="eastAsia" w:ascii="黑体" w:hAnsi="黑体" w:eastAsia="黑体"/>
              <w:sz w:val="28"/>
              <w:szCs w:val="44"/>
              <w:highlight w:val="none"/>
            </w:rPr>
            <w:t>四、评价结论和评价等级</w:t>
          </w:r>
          <w:r>
            <w:rPr>
              <w:sz w:val="28"/>
              <w:szCs w:val="32"/>
            </w:rPr>
            <w:tab/>
          </w:r>
          <w:r>
            <w:rPr>
              <w:sz w:val="28"/>
              <w:szCs w:val="32"/>
            </w:rPr>
            <w:fldChar w:fldCharType="begin"/>
          </w:r>
          <w:r>
            <w:rPr>
              <w:sz w:val="28"/>
              <w:szCs w:val="32"/>
            </w:rPr>
            <w:instrText xml:space="preserve"> PAGEREF _Toc4931 \h </w:instrText>
          </w:r>
          <w:r>
            <w:rPr>
              <w:sz w:val="28"/>
              <w:szCs w:val="32"/>
            </w:rPr>
            <w:fldChar w:fldCharType="separate"/>
          </w:r>
          <w:r>
            <w:rPr>
              <w:sz w:val="28"/>
              <w:szCs w:val="32"/>
            </w:rPr>
            <w:t>- 13 -</w:t>
          </w:r>
          <w:r>
            <w:rPr>
              <w:sz w:val="28"/>
              <w:szCs w:val="32"/>
            </w:rPr>
            <w:fldChar w:fldCharType="end"/>
          </w:r>
          <w:r>
            <w:rPr>
              <w:rFonts w:hint="eastAsia" w:ascii="宋体" w:hAnsi="宋体" w:cs="宋体"/>
              <w:bCs/>
              <w:sz w:val="28"/>
              <w:szCs w:val="56"/>
              <w:lang w:eastAsia="zh-CN"/>
            </w:rPr>
            <w:fldChar w:fldCharType="end"/>
          </w:r>
        </w:p>
        <w:p w14:paraId="127751AD">
          <w:pPr>
            <w:pStyle w:val="8"/>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_Toc6369 </w:instrText>
          </w:r>
          <w:r>
            <w:rPr>
              <w:rFonts w:hint="eastAsia" w:ascii="宋体" w:hAnsi="宋体" w:cs="宋体"/>
              <w:bCs/>
              <w:sz w:val="28"/>
              <w:szCs w:val="56"/>
              <w:lang w:eastAsia="zh-CN"/>
            </w:rPr>
            <w:fldChar w:fldCharType="separate"/>
          </w:r>
          <w:r>
            <w:rPr>
              <w:rFonts w:hint="eastAsia" w:ascii="黑体" w:hAnsi="黑体" w:eastAsia="黑体" w:cs="黑体"/>
              <w:sz w:val="28"/>
              <w:szCs w:val="44"/>
              <w:highlight w:val="none"/>
              <w:lang w:val="en-US" w:eastAsia="zh-CN"/>
            </w:rPr>
            <w:t>五、存在的问题及改进措施</w:t>
          </w:r>
          <w:r>
            <w:rPr>
              <w:sz w:val="28"/>
              <w:szCs w:val="32"/>
            </w:rPr>
            <w:tab/>
          </w:r>
          <w:r>
            <w:rPr>
              <w:sz w:val="28"/>
              <w:szCs w:val="32"/>
            </w:rPr>
            <w:fldChar w:fldCharType="begin"/>
          </w:r>
          <w:r>
            <w:rPr>
              <w:sz w:val="28"/>
              <w:szCs w:val="32"/>
            </w:rPr>
            <w:instrText xml:space="preserve"> PAGEREF _Toc6369 \h </w:instrText>
          </w:r>
          <w:r>
            <w:rPr>
              <w:sz w:val="28"/>
              <w:szCs w:val="32"/>
            </w:rPr>
            <w:fldChar w:fldCharType="separate"/>
          </w:r>
          <w:r>
            <w:rPr>
              <w:sz w:val="28"/>
              <w:szCs w:val="32"/>
            </w:rPr>
            <w:t>- 13 -</w:t>
          </w:r>
          <w:r>
            <w:rPr>
              <w:sz w:val="28"/>
              <w:szCs w:val="32"/>
            </w:rPr>
            <w:fldChar w:fldCharType="end"/>
          </w:r>
          <w:r>
            <w:rPr>
              <w:rFonts w:hint="eastAsia" w:ascii="宋体" w:hAnsi="宋体" w:cs="宋体"/>
              <w:bCs/>
              <w:sz w:val="28"/>
              <w:szCs w:val="56"/>
              <w:lang w:eastAsia="zh-CN"/>
            </w:rPr>
            <w:fldChar w:fldCharType="end"/>
          </w:r>
        </w:p>
        <w:p w14:paraId="0AEAF227">
          <w:pPr>
            <w:pStyle w:val="9"/>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_Toc31099 </w:instrText>
          </w:r>
          <w:r>
            <w:rPr>
              <w:rFonts w:hint="eastAsia" w:ascii="宋体" w:hAnsi="宋体" w:cs="宋体"/>
              <w:bCs/>
              <w:sz w:val="28"/>
              <w:szCs w:val="56"/>
              <w:lang w:eastAsia="zh-CN"/>
            </w:rPr>
            <w:fldChar w:fldCharType="separate"/>
          </w:r>
          <w:r>
            <w:rPr>
              <w:rFonts w:hint="eastAsia" w:ascii="楷体" w:hAnsi="楷体" w:eastAsia="楷体" w:cs="楷体"/>
              <w:bCs w:val="0"/>
              <w:sz w:val="28"/>
              <w:szCs w:val="44"/>
              <w:highlight w:val="none"/>
            </w:rPr>
            <w:t>（</w:t>
          </w:r>
          <w:r>
            <w:rPr>
              <w:rFonts w:hint="eastAsia" w:ascii="楷体" w:hAnsi="楷体" w:eastAsia="楷体" w:cs="楷体"/>
              <w:bCs w:val="0"/>
              <w:sz w:val="28"/>
              <w:szCs w:val="44"/>
              <w:highlight w:val="none"/>
              <w:lang w:val="en-US" w:eastAsia="zh-CN"/>
            </w:rPr>
            <w:t>一</w:t>
          </w:r>
          <w:r>
            <w:rPr>
              <w:rFonts w:hint="eastAsia" w:ascii="楷体" w:hAnsi="楷体" w:eastAsia="楷体" w:cs="楷体"/>
              <w:bCs w:val="0"/>
              <w:sz w:val="28"/>
              <w:szCs w:val="44"/>
              <w:highlight w:val="none"/>
            </w:rPr>
            <w:t>）</w:t>
          </w:r>
          <w:r>
            <w:rPr>
              <w:rFonts w:hint="eastAsia" w:ascii="楷体" w:hAnsi="楷体" w:eastAsia="楷体" w:cs="楷体"/>
              <w:bCs w:val="0"/>
              <w:sz w:val="28"/>
              <w:szCs w:val="44"/>
              <w:highlight w:val="none"/>
              <w:lang w:val="en-US" w:eastAsia="zh-CN"/>
            </w:rPr>
            <w:t>存在的问题</w:t>
          </w:r>
          <w:r>
            <w:rPr>
              <w:sz w:val="28"/>
              <w:szCs w:val="32"/>
            </w:rPr>
            <w:tab/>
          </w:r>
          <w:r>
            <w:rPr>
              <w:sz w:val="28"/>
              <w:szCs w:val="32"/>
            </w:rPr>
            <w:fldChar w:fldCharType="begin"/>
          </w:r>
          <w:r>
            <w:rPr>
              <w:sz w:val="28"/>
              <w:szCs w:val="32"/>
            </w:rPr>
            <w:instrText xml:space="preserve"> PAGEREF _Toc31099 \h </w:instrText>
          </w:r>
          <w:r>
            <w:rPr>
              <w:sz w:val="28"/>
              <w:szCs w:val="32"/>
            </w:rPr>
            <w:fldChar w:fldCharType="separate"/>
          </w:r>
          <w:r>
            <w:rPr>
              <w:sz w:val="28"/>
              <w:szCs w:val="32"/>
            </w:rPr>
            <w:t>- 13 -</w:t>
          </w:r>
          <w:r>
            <w:rPr>
              <w:sz w:val="28"/>
              <w:szCs w:val="32"/>
            </w:rPr>
            <w:fldChar w:fldCharType="end"/>
          </w:r>
          <w:r>
            <w:rPr>
              <w:rFonts w:hint="eastAsia" w:ascii="宋体" w:hAnsi="宋体" w:cs="宋体"/>
              <w:bCs/>
              <w:sz w:val="28"/>
              <w:szCs w:val="56"/>
              <w:lang w:eastAsia="zh-CN"/>
            </w:rPr>
            <w:fldChar w:fldCharType="end"/>
          </w:r>
        </w:p>
        <w:p w14:paraId="69EBB1ED">
          <w:pPr>
            <w:pStyle w:val="9"/>
            <w:tabs>
              <w:tab w:val="right" w:leader="dot" w:pos="8845"/>
            </w:tabs>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_Toc14653 </w:instrText>
          </w:r>
          <w:r>
            <w:rPr>
              <w:rFonts w:hint="eastAsia" w:ascii="宋体" w:hAnsi="宋体" w:cs="宋体"/>
              <w:bCs/>
              <w:sz w:val="28"/>
              <w:szCs w:val="56"/>
              <w:lang w:eastAsia="zh-CN"/>
            </w:rPr>
            <w:fldChar w:fldCharType="separate"/>
          </w:r>
          <w:r>
            <w:rPr>
              <w:rFonts w:hint="eastAsia" w:ascii="楷体" w:hAnsi="楷体" w:eastAsia="楷体" w:cs="楷体"/>
              <w:bCs w:val="0"/>
              <w:sz w:val="28"/>
              <w:szCs w:val="44"/>
              <w:highlight w:val="none"/>
            </w:rPr>
            <w:t>（二）针对问题提出具体的改进措施或建议</w:t>
          </w:r>
          <w:r>
            <w:rPr>
              <w:sz w:val="28"/>
              <w:szCs w:val="32"/>
            </w:rPr>
            <w:tab/>
          </w:r>
          <w:r>
            <w:rPr>
              <w:sz w:val="28"/>
              <w:szCs w:val="32"/>
            </w:rPr>
            <w:fldChar w:fldCharType="begin"/>
          </w:r>
          <w:r>
            <w:rPr>
              <w:sz w:val="28"/>
              <w:szCs w:val="32"/>
            </w:rPr>
            <w:instrText xml:space="preserve"> PAGEREF _Toc14653 \h </w:instrText>
          </w:r>
          <w:r>
            <w:rPr>
              <w:sz w:val="28"/>
              <w:szCs w:val="32"/>
            </w:rPr>
            <w:fldChar w:fldCharType="separate"/>
          </w:r>
          <w:r>
            <w:rPr>
              <w:sz w:val="28"/>
              <w:szCs w:val="32"/>
            </w:rPr>
            <w:t>- 14 -</w:t>
          </w:r>
          <w:r>
            <w:rPr>
              <w:sz w:val="28"/>
              <w:szCs w:val="32"/>
            </w:rPr>
            <w:fldChar w:fldCharType="end"/>
          </w:r>
          <w:r>
            <w:rPr>
              <w:rFonts w:hint="eastAsia" w:ascii="宋体" w:hAnsi="宋体" w:cs="宋体"/>
              <w:bCs/>
              <w:sz w:val="28"/>
              <w:szCs w:val="56"/>
              <w:lang w:eastAsia="zh-CN"/>
            </w:rPr>
            <w:fldChar w:fldCharType="end"/>
          </w:r>
        </w:p>
        <w:p w14:paraId="2B371AD5">
          <w:pPr>
            <w:pStyle w:val="4"/>
            <w:pageBreakBefore w:val="0"/>
            <w:kinsoku/>
            <w:wordWrap/>
            <w:overflowPunct/>
            <w:topLinePunct w:val="0"/>
            <w:autoSpaceDE/>
            <w:autoSpaceDN/>
            <w:bidi w:val="0"/>
            <w:spacing w:before="0" w:after="0" w:line="578" w:lineRule="exact"/>
            <w:ind w:left="0" w:leftChars="0" w:right="0" w:rightChars="0" w:firstLine="0" w:firstLineChars="0"/>
            <w:jc w:val="center"/>
            <w:outlineLvl w:val="9"/>
            <w:rPr>
              <w:rFonts w:hint="eastAsia" w:ascii="宋体" w:hAnsi="宋体" w:cs="宋体"/>
              <w:b/>
              <w:bCs/>
              <w:sz w:val="44"/>
              <w:szCs w:val="44"/>
              <w:lang w:eastAsia="zh-CN"/>
            </w:rPr>
          </w:pPr>
          <w:r>
            <w:rPr>
              <w:rFonts w:hint="eastAsia" w:ascii="宋体" w:hAnsi="宋体" w:cs="宋体"/>
              <w:bCs/>
              <w:sz w:val="28"/>
              <w:szCs w:val="56"/>
              <w:lang w:eastAsia="zh-CN"/>
            </w:rPr>
            <w:fldChar w:fldCharType="end"/>
          </w:r>
        </w:p>
      </w:sdtContent>
    </w:sdt>
    <w:p w14:paraId="65F6C058">
      <w:pPr>
        <w:pageBreakBefore w:val="0"/>
        <w:kinsoku/>
        <w:wordWrap/>
        <w:overflowPunct/>
        <w:topLinePunct w:val="0"/>
        <w:autoSpaceDE/>
        <w:autoSpaceDN/>
        <w:bidi w:val="0"/>
        <w:spacing w:line="578" w:lineRule="exact"/>
        <w:rPr>
          <w:rFonts w:hint="eastAsia" w:ascii="宋体" w:hAnsi="宋体" w:cs="宋体"/>
          <w:b/>
          <w:bCs/>
          <w:sz w:val="44"/>
          <w:szCs w:val="44"/>
          <w:lang w:eastAsia="zh-CN"/>
        </w:rPr>
      </w:pPr>
    </w:p>
    <w:p w14:paraId="5D2C6135">
      <w:pPr>
        <w:pStyle w:val="4"/>
        <w:pageBreakBefore w:val="0"/>
        <w:kinsoku/>
        <w:wordWrap/>
        <w:overflowPunct/>
        <w:topLinePunct w:val="0"/>
        <w:autoSpaceDE/>
        <w:autoSpaceDN/>
        <w:bidi w:val="0"/>
        <w:spacing w:before="0" w:after="0" w:line="578" w:lineRule="exact"/>
        <w:outlineLvl w:val="9"/>
        <w:rPr>
          <w:rFonts w:hint="eastAsia" w:ascii="宋体" w:hAnsi="宋体" w:cs="宋体"/>
          <w:b/>
          <w:bCs/>
          <w:sz w:val="44"/>
          <w:szCs w:val="44"/>
          <w:lang w:eastAsia="zh-CN"/>
        </w:rPr>
        <w:sectPr>
          <w:headerReference r:id="rId4" w:type="default"/>
          <w:footerReference r:id="rId5" w:type="default"/>
          <w:pgSz w:w="11906" w:h="16838"/>
          <w:pgMar w:top="1440" w:right="1474" w:bottom="1440" w:left="1587" w:header="851" w:footer="992" w:gutter="0"/>
          <w:pgNumType w:fmt="numberInDash"/>
          <w:cols w:space="0" w:num="1"/>
          <w:rtlGutter w:val="0"/>
          <w:docGrid w:type="lines" w:linePitch="312" w:charSpace="0"/>
        </w:sectPr>
      </w:pPr>
    </w:p>
    <w:p w14:paraId="0E87EDAE">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hint="eastAsia" w:ascii="宋体" w:hAnsi="宋体" w:eastAsia="宋体" w:cs="宋体"/>
          <w:b/>
          <w:bCs/>
          <w:sz w:val="44"/>
          <w:szCs w:val="44"/>
          <w:lang w:eastAsia="zh-CN"/>
        </w:rPr>
      </w:pPr>
      <w:r>
        <w:rPr>
          <w:rFonts w:hint="eastAsia" w:ascii="宋体" w:hAnsi="宋体" w:cs="宋体"/>
          <w:b/>
          <w:bCs/>
          <w:sz w:val="44"/>
          <w:szCs w:val="44"/>
          <w:lang w:val="en-US" w:eastAsia="zh-CN"/>
        </w:rPr>
        <w:t>石家庄市卫生健康委员会</w:t>
      </w:r>
    </w:p>
    <w:p w14:paraId="3EAB518C">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hint="eastAsia" w:ascii="宋体" w:hAnsi="宋体" w:cs="宋体"/>
          <w:b/>
          <w:bCs/>
          <w:sz w:val="44"/>
          <w:szCs w:val="44"/>
        </w:rPr>
      </w:pPr>
      <w:bookmarkStart w:id="0" w:name="_Toc6783"/>
      <w:bookmarkStart w:id="1" w:name="_Toc22577"/>
      <w:r>
        <w:rPr>
          <w:rFonts w:hint="eastAsia" w:ascii="宋体" w:hAnsi="宋体" w:eastAsia="宋体" w:cs="宋体"/>
          <w:b/>
          <w:bCs/>
          <w:sz w:val="44"/>
          <w:szCs w:val="44"/>
          <w:lang w:val="en-US" w:eastAsia="zh-CN"/>
        </w:rPr>
        <w:t>202</w:t>
      </w:r>
      <w:r>
        <w:rPr>
          <w:rFonts w:hint="eastAsia" w:ascii="宋体" w:hAnsi="宋体" w:cs="宋体"/>
          <w:b/>
          <w:bCs/>
          <w:sz w:val="44"/>
          <w:szCs w:val="44"/>
          <w:lang w:val="en-US" w:eastAsia="zh-CN"/>
        </w:rPr>
        <w:t>4</w:t>
      </w:r>
      <w:r>
        <w:rPr>
          <w:rFonts w:hint="eastAsia" w:ascii="宋体" w:hAnsi="宋体" w:eastAsia="宋体" w:cs="宋体"/>
          <w:b/>
          <w:bCs/>
          <w:sz w:val="44"/>
          <w:szCs w:val="44"/>
          <w:lang w:val="en-US" w:eastAsia="zh-CN"/>
        </w:rPr>
        <w:t>年度</w:t>
      </w:r>
      <w:r>
        <w:rPr>
          <w:rFonts w:hint="eastAsia" w:ascii="宋体" w:hAnsi="宋体" w:cs="宋体"/>
          <w:b/>
          <w:bCs/>
          <w:sz w:val="44"/>
          <w:szCs w:val="44"/>
          <w:lang w:val="en-US" w:eastAsia="zh-CN"/>
        </w:rPr>
        <w:t>部门</w:t>
      </w:r>
      <w:r>
        <w:rPr>
          <w:rFonts w:hint="eastAsia" w:ascii="宋体" w:hAnsi="宋体" w:eastAsia="宋体" w:cs="宋体"/>
          <w:b/>
          <w:bCs/>
          <w:sz w:val="44"/>
          <w:szCs w:val="44"/>
          <w:lang w:val="en-US" w:eastAsia="zh-CN"/>
        </w:rPr>
        <w:t>整体支出</w:t>
      </w:r>
      <w:bookmarkEnd w:id="0"/>
      <w:bookmarkEnd w:id="1"/>
      <w:bookmarkStart w:id="2" w:name="_Toc15596"/>
      <w:bookmarkStart w:id="3" w:name="_Toc9764"/>
      <w:r>
        <w:rPr>
          <w:rFonts w:hint="eastAsia" w:ascii="宋体" w:hAnsi="宋体" w:eastAsia="宋体" w:cs="宋体"/>
          <w:b/>
          <w:bCs/>
          <w:sz w:val="44"/>
          <w:szCs w:val="44"/>
          <w:lang w:val="en-US" w:eastAsia="zh-CN"/>
        </w:rPr>
        <w:t>绩效</w:t>
      </w:r>
      <w:r>
        <w:rPr>
          <w:rFonts w:hint="eastAsia" w:ascii="宋体" w:hAnsi="宋体" w:eastAsia="宋体" w:cs="宋体"/>
          <w:b/>
          <w:bCs/>
          <w:sz w:val="44"/>
          <w:szCs w:val="44"/>
          <w:lang w:eastAsia="zh-CN"/>
        </w:rPr>
        <w:t>自</w:t>
      </w:r>
      <w:r>
        <w:rPr>
          <w:rFonts w:hint="eastAsia" w:ascii="宋体" w:hAnsi="宋体" w:cs="宋体"/>
          <w:b/>
          <w:bCs/>
          <w:sz w:val="44"/>
          <w:szCs w:val="44"/>
        </w:rPr>
        <w:t>评报告</w:t>
      </w:r>
      <w:bookmarkEnd w:id="2"/>
      <w:bookmarkEnd w:id="3"/>
    </w:p>
    <w:p w14:paraId="03B2711F">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ascii="华文楷体" w:eastAsia="华文楷体"/>
          <w:sz w:val="32"/>
          <w:szCs w:val="32"/>
        </w:rPr>
      </w:pPr>
    </w:p>
    <w:p w14:paraId="20BE14E1">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eastAsia="zh-CN"/>
        </w:rPr>
        <w:t>市委市政府《关于全面落实预算绩效管理的实施意见》（石发﹝</w:t>
      </w:r>
      <w:r>
        <w:rPr>
          <w:rFonts w:hint="eastAsia" w:ascii="仿宋_GB2312" w:hAnsi="仿宋_GB2312" w:eastAsia="仿宋_GB2312" w:cs="仿宋_GB2312"/>
          <w:sz w:val="32"/>
          <w:szCs w:val="32"/>
          <w:lang w:val="en-US" w:eastAsia="zh-CN"/>
        </w:rPr>
        <w:t>2019</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文件精神，遵循“科学性、规范性、客观性和公正性”的原则，</w:t>
      </w:r>
      <w:r>
        <w:rPr>
          <w:rFonts w:hint="eastAsia" w:ascii="仿宋_GB2312" w:hAnsi="仿宋_GB2312" w:eastAsia="仿宋_GB2312" w:cs="仿宋_GB2312"/>
          <w:sz w:val="32"/>
          <w:szCs w:val="32"/>
          <w:lang w:val="en-US" w:eastAsia="zh-CN"/>
        </w:rPr>
        <w:t>石家庄市卫生健康委员会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以下简称“我委”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对2024年部门</w:t>
      </w:r>
      <w:r>
        <w:rPr>
          <w:rFonts w:hint="eastAsia" w:ascii="仿宋_GB2312" w:hAnsi="仿宋_GB2312" w:eastAsia="仿宋_GB2312" w:cs="仿宋_GB2312"/>
          <w:sz w:val="32"/>
          <w:szCs w:val="32"/>
          <w:lang w:eastAsia="zh-CN"/>
        </w:rPr>
        <w:t>整体支出情况</w:t>
      </w:r>
      <w:r>
        <w:rPr>
          <w:rFonts w:hint="eastAsia" w:ascii="仿宋_GB2312" w:hAnsi="仿宋_GB2312" w:eastAsia="仿宋_GB2312" w:cs="仿宋_GB2312"/>
          <w:sz w:val="32"/>
          <w:szCs w:val="32"/>
        </w:rPr>
        <w:t>实施了财政支出绩效自评价，形成本评价报告。</w:t>
      </w:r>
    </w:p>
    <w:p w14:paraId="30577A85">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0"/>
        <w:rPr>
          <w:rFonts w:ascii="黑体" w:hAnsi="黑体" w:eastAsia="黑体"/>
          <w:b/>
          <w:bCs/>
          <w:sz w:val="32"/>
          <w:szCs w:val="32"/>
        </w:rPr>
      </w:pPr>
      <w:bookmarkStart w:id="4" w:name="_Toc20481"/>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2"/>
        </w:rPr>
        <w:t>基本情况</w:t>
      </w:r>
      <w:bookmarkEnd w:id="4"/>
    </w:p>
    <w:p w14:paraId="02C6E33B">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1"/>
        <w:rPr>
          <w:rFonts w:hint="eastAsia" w:ascii="楷体" w:hAnsi="楷体" w:eastAsia="楷体" w:cs="楷体"/>
          <w:sz w:val="32"/>
          <w:szCs w:val="32"/>
        </w:rPr>
      </w:pPr>
      <w:bookmarkStart w:id="5" w:name="_Toc31670"/>
      <w:r>
        <w:rPr>
          <w:rFonts w:hint="eastAsia" w:ascii="楷体" w:hAnsi="楷体" w:eastAsia="楷体" w:cs="楷体"/>
          <w:sz w:val="32"/>
          <w:szCs w:val="32"/>
        </w:rPr>
        <w:t>（一）</w:t>
      </w:r>
      <w:r>
        <w:rPr>
          <w:rFonts w:hint="eastAsia" w:ascii="楷体" w:hAnsi="楷体" w:eastAsia="楷体" w:cs="楷体"/>
          <w:sz w:val="32"/>
          <w:szCs w:val="32"/>
          <w:lang w:eastAsia="zh-CN"/>
        </w:rPr>
        <w:t>部门</w:t>
      </w:r>
      <w:r>
        <w:rPr>
          <w:rFonts w:hint="eastAsia" w:ascii="楷体" w:hAnsi="楷体" w:eastAsia="楷体" w:cs="楷体"/>
          <w:sz w:val="32"/>
          <w:szCs w:val="32"/>
        </w:rPr>
        <w:t>概况</w:t>
      </w:r>
      <w:bookmarkEnd w:id="5"/>
    </w:p>
    <w:p w14:paraId="2AE04F9C">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1.部门职责</w:t>
      </w:r>
    </w:p>
    <w:p w14:paraId="5CCDD53D">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负责起草卫生健康、中医药事业发展地方性法规、政府规章草案，拟定全市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32E568A8">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协调推进全市深化医药卫生体制改革，研究提出全市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346601C7">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（3）制定并组织落实疾病预防控制规划、国家免疫规划以及危害人民健康的公共卫生问题的干预措施。负责卫生应急工作，组织指导突发公共卫生事件的预防控制和各类突发公共事件的医疗卫生救援。</w:t>
      </w:r>
    </w:p>
    <w:p w14:paraId="6923040C">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（4）组织拟定并协调落实应对人口老龄化政策措施，负责推进老年健康服务体系建设和医养结合工作。</w:t>
      </w:r>
    </w:p>
    <w:p w14:paraId="706FFDD7">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组织实施国家基本药物政策和国家基本药物制度，开展药品使用监测、临床综合评价和短缺药品预警，提出全市基本药物价格政策的建议，参与拟订药品地方性法规、政府规章草案。配合省卫生健康委做好食品安全风险监测和食品安全地方标准跟踪评价工作。</w:t>
      </w:r>
    </w:p>
    <w:p w14:paraId="6AA52C5D">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负责职责范围内的职业卫生、放射卫生、环境卫生、学校卫生、公共场所卫生、饮用水卫生等公共卫生的监督管理，负责传染病防治监督，健全卫生健康综合监督体系。牵头《烟草控制框架公约》履约工作。</w:t>
      </w:r>
    </w:p>
    <w:p w14:paraId="3155F65D">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监督医疗机构、医疗服务行业管理办法的组织实施，建立医疗服务评价和监督管理体系。会同市有关部门实施卫生健康专业技术人员资格标准。负责医疗服务规范、标准和卫生健康专业技术人员执业规则、服务规范的组织实施。</w:t>
      </w:r>
    </w:p>
    <w:p w14:paraId="5AF542EA">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（8）负责计划生育管理和服务工作，开展人口监测预警，研究提出人口与家庭发展相关政策建议，落实计划生育政策。</w:t>
      </w:r>
    </w:p>
    <w:p w14:paraId="358ED813">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（9）负责全市卫生健康工作，负责基层医疗卫生、妇幼健康服务体系和全科医生队伍建设。推进卫生健康科技创新发展。</w:t>
      </w:r>
    </w:p>
    <w:p w14:paraId="0B7D062D">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（10）拟订中医药中长期发展规划，并纳入卫生健康事业发展总体规划和战略目标。</w:t>
      </w:r>
    </w:p>
    <w:p w14:paraId="1F0E3052">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（11）负责市保健对象的医疗保健工作，负责市直部门有关干部医疗管理工作，负责重要会议与重大活动的医疗卫生保障工作。</w:t>
      </w:r>
    </w:p>
    <w:p w14:paraId="7DBD72C7">
      <w:pPr>
        <w:keepNext w:val="0"/>
        <w:keepLines w:val="0"/>
        <w:pageBreakBefore w:val="0"/>
        <w:widowControl w:val="0"/>
        <w:kinsoku/>
        <w:wordWrap/>
        <w:overflowPunct/>
        <w:topLinePunct w:val="0"/>
        <w:autoSpaceDE/>
        <w:autoSpaceDN/>
        <w:bidi w:val="0"/>
        <w:spacing w:line="578"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highlight w:val="none"/>
          <w:lang w:val="en-US" w:eastAsia="zh-CN"/>
        </w:rPr>
        <w:t>（12）承办市委、市政府交办的其他事项。</w:t>
      </w:r>
    </w:p>
    <w:p w14:paraId="2B4FCEA6">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2.资产情况</w:t>
      </w:r>
    </w:p>
    <w:p w14:paraId="750B91AC">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highlight w:val="none"/>
          <w:lang w:val="en-US" w:eastAsia="zh-CN"/>
        </w:rPr>
        <w:t>我委资产管理</w:t>
      </w:r>
      <w:r>
        <w:rPr>
          <w:rFonts w:hint="eastAsia" w:ascii="仿宋_GB2312" w:hAnsi="仿宋_GB2312" w:eastAsia="仿宋_GB2312" w:cs="仿宋_GB2312"/>
          <w:sz w:val="32"/>
          <w:szCs w:val="32"/>
          <w:lang w:eastAsia="zh-CN"/>
        </w:rPr>
        <w:t>依照政府采购目录进行政府采购，加强固定资产登记、使用和报废处置管理，做到支出合理，物尽其用。</w:t>
      </w:r>
    </w:p>
    <w:p w14:paraId="11BA838C">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截止2024年底，我委共有资产</w:t>
      </w:r>
      <w:r>
        <w:rPr>
          <w:rFonts w:hint="eastAsia" w:ascii="仿宋_GB2312" w:hAnsi="仿宋_GB2312" w:eastAsia="仿宋_GB2312" w:cs="仿宋_GB2312"/>
          <w:kern w:val="2"/>
          <w:sz w:val="32"/>
          <w:szCs w:val="32"/>
          <w:highlight w:val="none"/>
          <w:lang w:val="en-US" w:eastAsia="zh-CN"/>
        </w:rPr>
        <w:t>729509.86</w:t>
      </w:r>
      <w:r>
        <w:rPr>
          <w:rFonts w:hint="eastAsia" w:ascii="仿宋_GB2312" w:hAnsi="仿宋_GB2312" w:eastAsia="仿宋_GB2312" w:cs="仿宋_GB2312"/>
          <w:sz w:val="32"/>
          <w:szCs w:val="32"/>
          <w:highlight w:val="none"/>
          <w:lang w:val="en-US" w:eastAsia="zh-CN"/>
        </w:rPr>
        <w:t>万元，其中银行存款261243.32万元；房屋462408.83万元；车辆5857.71万元。</w:t>
      </w:r>
    </w:p>
    <w:p w14:paraId="02FF3187">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1"/>
        <w:rPr>
          <w:rFonts w:hint="eastAsia" w:ascii="楷体" w:hAnsi="楷体" w:eastAsia="楷体" w:cs="楷体"/>
          <w:b w:val="0"/>
          <w:bCs w:val="0"/>
          <w:kern w:val="2"/>
          <w:sz w:val="32"/>
          <w:szCs w:val="32"/>
          <w:highlight w:val="none"/>
        </w:rPr>
      </w:pPr>
      <w:bookmarkStart w:id="6" w:name="_Toc11866"/>
      <w:r>
        <w:rPr>
          <w:rFonts w:hint="eastAsia" w:ascii="楷体" w:hAnsi="楷体" w:eastAsia="楷体" w:cs="楷体"/>
          <w:b w:val="0"/>
          <w:bCs w:val="0"/>
          <w:sz w:val="32"/>
          <w:szCs w:val="32"/>
          <w:highlight w:val="none"/>
          <w:lang w:eastAsia="zh-CN"/>
        </w:rPr>
        <w:t>（</w:t>
      </w:r>
      <w:r>
        <w:rPr>
          <w:rFonts w:hint="eastAsia" w:ascii="楷体" w:hAnsi="楷体" w:eastAsia="楷体" w:cs="楷体"/>
          <w:b w:val="0"/>
          <w:bCs w:val="0"/>
          <w:sz w:val="32"/>
          <w:szCs w:val="32"/>
          <w:highlight w:val="none"/>
          <w:lang w:val="en-US" w:eastAsia="zh-CN"/>
        </w:rPr>
        <w:t>二</w:t>
      </w:r>
      <w:r>
        <w:rPr>
          <w:rFonts w:hint="eastAsia" w:ascii="楷体" w:hAnsi="楷体" w:eastAsia="楷体" w:cs="楷体"/>
          <w:b w:val="0"/>
          <w:bCs w:val="0"/>
          <w:sz w:val="32"/>
          <w:szCs w:val="32"/>
          <w:highlight w:val="none"/>
          <w:lang w:eastAsia="zh-CN"/>
        </w:rPr>
        <w:t>）部门收支预决算情况</w:t>
      </w:r>
      <w:bookmarkEnd w:id="6"/>
    </w:p>
    <w:p w14:paraId="7BFC0B1F">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0" w:firstLineChars="200"/>
        <w:textAlignment w:val="auto"/>
        <w:outlineLvl w:val="9"/>
        <w:rPr>
          <w:rFonts w:hint="eastAsia" w:ascii="仿宋_GB2312" w:hAnsi="仿宋_GB2312" w:eastAsia="仿宋_GB2312" w:cs="仿宋_GB2312"/>
          <w:kern w:val="2"/>
          <w:sz w:val="32"/>
          <w:szCs w:val="32"/>
          <w:highlight w:val="none"/>
          <w:lang w:val="en-US" w:eastAsia="zh-CN"/>
        </w:rPr>
      </w:pPr>
      <w:r>
        <w:rPr>
          <w:rFonts w:hint="eastAsia" w:ascii="仿宋_GB2312" w:hAnsi="仿宋_GB2312" w:eastAsia="仿宋_GB2312" w:cs="仿宋_GB2312"/>
          <w:sz w:val="32"/>
          <w:szCs w:val="32"/>
          <w:highlight w:val="none"/>
          <w:lang w:val="en-US" w:eastAsia="zh-CN"/>
        </w:rPr>
        <w:t>2024年我委</w:t>
      </w:r>
      <w:r>
        <w:rPr>
          <w:rFonts w:hint="eastAsia" w:ascii="仿宋_GB2312" w:hAnsi="仿宋_GB2312" w:eastAsia="仿宋_GB2312" w:cs="仿宋_GB2312"/>
          <w:kern w:val="2"/>
          <w:sz w:val="32"/>
          <w:szCs w:val="32"/>
          <w:highlight w:val="none"/>
          <w:lang w:val="en-US" w:eastAsia="zh-CN"/>
        </w:rPr>
        <w:t>年初</w:t>
      </w:r>
      <w:r>
        <w:rPr>
          <w:rFonts w:hint="eastAsia" w:ascii="仿宋_GB2312" w:hAnsi="仿宋_GB2312" w:eastAsia="仿宋_GB2312" w:cs="仿宋_GB2312"/>
          <w:kern w:val="2"/>
          <w:sz w:val="32"/>
          <w:szCs w:val="32"/>
          <w:highlight w:val="none"/>
        </w:rPr>
        <w:t>预算</w:t>
      </w:r>
      <w:r>
        <w:rPr>
          <w:rFonts w:hint="eastAsia" w:ascii="仿宋_GB2312" w:hAnsi="仿宋_GB2312" w:eastAsia="仿宋_GB2312" w:cs="仿宋_GB2312"/>
          <w:kern w:val="2"/>
          <w:sz w:val="32"/>
          <w:szCs w:val="32"/>
          <w:highlight w:val="none"/>
          <w:lang w:val="en-US" w:eastAsia="zh-CN"/>
        </w:rPr>
        <w:t>收入938837.38万元、预算调整收入930863.91万元、年度决算收入928871.23万元、年度支出数816734.02</w:t>
      </w:r>
      <w:r>
        <w:rPr>
          <w:rFonts w:hint="eastAsia" w:ascii="仿宋_GB2312" w:hAnsi="仿宋_GB2312" w:eastAsia="仿宋_GB2312" w:cs="仿宋_GB2312"/>
          <w:kern w:val="2"/>
          <w:sz w:val="32"/>
          <w:szCs w:val="32"/>
          <w:highlight w:val="none"/>
        </w:rPr>
        <w:t>万元</w:t>
      </w:r>
      <w:r>
        <w:rPr>
          <w:rFonts w:hint="eastAsia" w:ascii="仿宋_GB2312" w:hAnsi="仿宋_GB2312" w:eastAsia="仿宋_GB2312" w:cs="仿宋_GB2312"/>
          <w:kern w:val="2"/>
          <w:sz w:val="32"/>
          <w:szCs w:val="32"/>
          <w:highlight w:val="none"/>
          <w:lang w:eastAsia="zh-CN"/>
        </w:rPr>
        <w:t>、年度结余分配资金</w:t>
      </w:r>
      <w:r>
        <w:rPr>
          <w:rFonts w:hint="eastAsia" w:ascii="仿宋_GB2312" w:hAnsi="仿宋_GB2312" w:eastAsia="仿宋_GB2312" w:cs="仿宋_GB2312"/>
          <w:kern w:val="2"/>
          <w:sz w:val="32"/>
          <w:szCs w:val="32"/>
          <w:highlight w:val="none"/>
          <w:lang w:val="en-US" w:eastAsia="zh-CN"/>
        </w:rPr>
        <w:t>26335.9万元</w:t>
      </w:r>
      <w:r>
        <w:rPr>
          <w:rFonts w:hint="eastAsia" w:ascii="仿宋_GB2312" w:hAnsi="仿宋_GB2312" w:eastAsia="仿宋_GB2312" w:cs="仿宋_GB2312"/>
          <w:kern w:val="2"/>
          <w:sz w:val="32"/>
          <w:szCs w:val="32"/>
          <w:highlight w:val="none"/>
          <w:lang w:eastAsia="zh-CN"/>
        </w:rPr>
        <w:t>、</w:t>
      </w:r>
      <w:r>
        <w:rPr>
          <w:rFonts w:hint="eastAsia" w:ascii="仿宋_GB2312" w:hAnsi="仿宋_GB2312" w:eastAsia="仿宋_GB2312" w:cs="仿宋_GB2312"/>
          <w:kern w:val="2"/>
          <w:sz w:val="32"/>
          <w:szCs w:val="32"/>
          <w:highlight w:val="none"/>
          <w:lang w:val="en-US" w:eastAsia="zh-CN"/>
        </w:rPr>
        <w:t>年度结转结余资金85801.3万元。具体情况如下：</w:t>
      </w:r>
    </w:p>
    <w:p w14:paraId="74D77874">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0" w:firstLineChars="200"/>
        <w:textAlignment w:val="auto"/>
        <w:outlineLvl w:val="9"/>
        <w:rPr>
          <w:rFonts w:hint="eastAsia" w:ascii="仿宋_GB2312" w:hAnsi="仿宋_GB2312" w:eastAsia="仿宋_GB2312" w:cs="仿宋_GB2312"/>
          <w:kern w:val="2"/>
          <w:sz w:val="32"/>
          <w:szCs w:val="32"/>
          <w:highlight w:val="none"/>
          <w:lang w:val="en-US" w:eastAsia="zh-CN"/>
        </w:rPr>
      </w:pPr>
      <w:r>
        <w:rPr>
          <w:rFonts w:hint="eastAsia" w:ascii="仿宋_GB2312" w:hAnsi="仿宋_GB2312" w:eastAsia="仿宋_GB2312" w:cs="仿宋_GB2312"/>
          <w:kern w:val="2"/>
          <w:sz w:val="32"/>
          <w:szCs w:val="32"/>
          <w:highlight w:val="none"/>
          <w:lang w:val="en-US" w:eastAsia="zh-CN"/>
        </w:rPr>
        <w:t>1.年初预算938837.38万元均为一般公共预算财政拨款收入，按资金支出性质分类：基本支出预算464379万元，其中人员经费333880.61万元、公用经费130498.4万元；项目支出预算474458.37万元。</w:t>
      </w:r>
    </w:p>
    <w:p w14:paraId="0EE3B6B1">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0" w:firstLineChars="200"/>
        <w:textAlignment w:val="auto"/>
        <w:outlineLvl w:val="9"/>
        <w:rPr>
          <w:rFonts w:hint="eastAsia" w:ascii="仿宋_GB2312" w:hAnsi="仿宋_GB2312" w:eastAsia="仿宋_GB2312" w:cs="仿宋_GB2312"/>
          <w:kern w:val="2"/>
          <w:sz w:val="32"/>
          <w:szCs w:val="32"/>
          <w:highlight w:val="none"/>
        </w:rPr>
      </w:pPr>
      <w:r>
        <w:rPr>
          <w:rFonts w:hint="eastAsia" w:ascii="仿宋_GB2312" w:hAnsi="仿宋_GB2312" w:eastAsia="仿宋_GB2312" w:cs="仿宋_GB2312"/>
          <w:kern w:val="2"/>
          <w:sz w:val="32"/>
          <w:szCs w:val="32"/>
          <w:highlight w:val="none"/>
          <w:lang w:val="en-US" w:eastAsia="zh-CN"/>
        </w:rPr>
        <w:t>2.预算调整收入930863.91万元，包含本年预算调整数838225.28万元，非财政拨款结余数6752.95万元，年初结转结余数85885.68万元，均为一般公共预算财政拨款收入</w:t>
      </w:r>
      <w:r>
        <w:rPr>
          <w:rFonts w:hint="eastAsia" w:ascii="仿宋_GB2312" w:hAnsi="仿宋_GB2312" w:eastAsia="仿宋_GB2312" w:cs="仿宋_GB2312"/>
          <w:kern w:val="2"/>
          <w:sz w:val="32"/>
          <w:szCs w:val="32"/>
          <w:highlight w:val="none"/>
        </w:rPr>
        <w:t>。</w:t>
      </w:r>
      <w:r>
        <w:rPr>
          <w:rFonts w:hint="eastAsia" w:ascii="仿宋_GB2312" w:hAnsi="仿宋_GB2312" w:eastAsia="仿宋_GB2312" w:cs="仿宋_GB2312"/>
          <w:kern w:val="2"/>
          <w:sz w:val="32"/>
          <w:szCs w:val="32"/>
          <w:highlight w:val="none"/>
          <w:lang w:val="en-US" w:eastAsia="zh-CN"/>
        </w:rPr>
        <w:t>按资金支出性质分类：基本支出预算592697.28万元，其中人员经费414439万元、公用经费178258.29万元；项目支出预算338166.62万元。</w:t>
      </w:r>
    </w:p>
    <w:p w14:paraId="2319068A">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0" w:firstLineChars="200"/>
        <w:textAlignment w:val="auto"/>
        <w:outlineLvl w:val="9"/>
        <w:rPr>
          <w:rFonts w:hint="eastAsia" w:ascii="仿宋_GB2312" w:hAnsi="仿宋_GB2312" w:eastAsia="仿宋_GB2312" w:cs="仿宋_GB2312"/>
          <w:kern w:val="2"/>
          <w:sz w:val="32"/>
          <w:szCs w:val="32"/>
          <w:highlight w:val="none"/>
        </w:rPr>
      </w:pPr>
      <w:r>
        <w:rPr>
          <w:rFonts w:hint="eastAsia" w:ascii="仿宋_GB2312" w:hAnsi="仿宋_GB2312" w:eastAsia="仿宋_GB2312" w:cs="仿宋_GB2312"/>
          <w:kern w:val="2"/>
          <w:sz w:val="32"/>
          <w:szCs w:val="32"/>
          <w:highlight w:val="none"/>
          <w:lang w:val="en-US" w:eastAsia="zh-CN"/>
        </w:rPr>
        <w:t>3.年度支出数816734.02</w:t>
      </w:r>
      <w:r>
        <w:rPr>
          <w:rFonts w:hint="eastAsia" w:ascii="仿宋_GB2312" w:hAnsi="仿宋_GB2312" w:eastAsia="仿宋_GB2312" w:cs="仿宋_GB2312"/>
          <w:kern w:val="2"/>
          <w:sz w:val="32"/>
          <w:szCs w:val="32"/>
          <w:highlight w:val="none"/>
        </w:rPr>
        <w:t>万元</w:t>
      </w:r>
      <w:r>
        <w:rPr>
          <w:rFonts w:hint="eastAsia" w:ascii="仿宋_GB2312" w:hAnsi="仿宋_GB2312" w:eastAsia="仿宋_GB2312" w:cs="仿宋_GB2312"/>
          <w:kern w:val="2"/>
          <w:sz w:val="32"/>
          <w:szCs w:val="32"/>
          <w:highlight w:val="none"/>
          <w:lang w:eastAsia="zh-CN"/>
        </w:rPr>
        <w:t>，</w:t>
      </w:r>
      <w:r>
        <w:rPr>
          <w:rFonts w:hint="eastAsia" w:ascii="仿宋_GB2312" w:hAnsi="仿宋_GB2312" w:eastAsia="仿宋_GB2312" w:cs="仿宋_GB2312"/>
          <w:kern w:val="2"/>
          <w:sz w:val="32"/>
          <w:szCs w:val="32"/>
          <w:highlight w:val="none"/>
          <w:lang w:val="en-US" w:eastAsia="zh-CN"/>
        </w:rPr>
        <w:t>按资金支出性质分类：基本支出493419.85万元，其中人员经费332246.93万元、公用经费161172.91万元；项目支出323314.17万元。</w:t>
      </w:r>
    </w:p>
    <w:p w14:paraId="1669FA49">
      <w:pPr>
        <w:keepNext w:val="0"/>
        <w:keepLines w:val="0"/>
        <w:pageBreakBefore w:val="0"/>
        <w:widowControl w:val="0"/>
        <w:kinsoku/>
        <w:wordWrap/>
        <w:overflowPunct/>
        <w:topLinePunct w:val="0"/>
        <w:autoSpaceDE/>
        <w:autoSpaceDN/>
        <w:bidi w:val="0"/>
        <w:spacing w:line="578" w:lineRule="exact"/>
        <w:ind w:left="0" w:firstLine="640" w:firstLineChars="200"/>
        <w:contextualSpacing/>
        <w:jc w:val="both"/>
        <w:textAlignment w:val="auto"/>
        <w:outlineLvl w:val="1"/>
        <w:rPr>
          <w:rFonts w:hint="eastAsia" w:ascii="楷体" w:hAnsi="楷体" w:eastAsia="楷体" w:cs="楷体"/>
          <w:b w:val="0"/>
          <w:bCs w:val="0"/>
          <w:sz w:val="32"/>
          <w:szCs w:val="32"/>
          <w:lang w:eastAsia="zh-CN"/>
        </w:rPr>
      </w:pPr>
      <w:bookmarkStart w:id="7" w:name="_Toc18649"/>
      <w:r>
        <w:rPr>
          <w:rFonts w:hint="eastAsia" w:ascii="楷体" w:hAnsi="楷体" w:eastAsia="楷体" w:cs="楷体"/>
          <w:b w:val="0"/>
          <w:bCs w:val="0"/>
          <w:sz w:val="32"/>
          <w:szCs w:val="32"/>
          <w:lang w:eastAsia="zh-CN"/>
        </w:rPr>
        <w:t>（三）部门整体支出绩效目标、指标</w:t>
      </w:r>
      <w:bookmarkEnd w:id="7"/>
    </w:p>
    <w:p w14:paraId="0F2136C6">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1.整体绩效目标</w:t>
      </w:r>
    </w:p>
    <w:p w14:paraId="082A12E4">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0" w:firstLineChars="200"/>
        <w:textAlignment w:val="auto"/>
        <w:outlineLvl w:val="9"/>
        <w:rPr>
          <w:rFonts w:hint="eastAsia" w:ascii="仿宋_GB2312" w:hAnsi="仿宋_GB2312" w:eastAsia="仿宋_GB2312" w:cs="仿宋_GB2312"/>
          <w:sz w:val="32"/>
          <w:szCs w:val="32"/>
          <w:highlight w:val="yellow"/>
          <w:lang w:val="en-US" w:eastAsia="zh-CN"/>
        </w:rPr>
      </w:pPr>
      <w:r>
        <w:rPr>
          <w:rFonts w:hint="eastAsia" w:ascii="仿宋_GB2312" w:hAnsi="仿宋_GB2312" w:eastAsia="仿宋_GB2312" w:cs="仿宋_GB2312"/>
          <w:sz w:val="32"/>
          <w:szCs w:val="32"/>
          <w:highlight w:val="none"/>
          <w:lang w:val="en-US" w:eastAsia="zh-CN"/>
        </w:rPr>
        <w:t>2024年，以习近平新时代中国特色社会主义思想为指导，深入贯彻党的二十大精神，坚持党的全面领导，坚持新时代卫生健康工作方针，以健康中国战略为统领，坚持“五位一体”总体布局，协调推进“四个全面”战略布局，坚持以人民为中心的思想，以“健康石家庄”建设为统领，以高质量发展为主线，以调查研究为抓手，持续深化医药卫生体制改革，确保5大类53个建设项目落地落实；不断完善医疗卫生服务体系，加快推进优质医疗资源扩容提质；着力提升基层卫生服务能力，保持全省特色专科创建优势，力争2024年创建推荐标准机构5个，新增社区医院2个，新增基层特色专科5个；努力全方位全周期保障人民健康，推动卫生健康事业高质量发展实现新跃升，更好地将医疗资源优势转化为发展优势，为加快建设现代化、国际化美丽省会城市奠定坚实健康基础。</w:t>
      </w:r>
    </w:p>
    <w:p w14:paraId="3BCC055E">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3"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2.分项绩效目标</w:t>
      </w:r>
    </w:p>
    <w:p w14:paraId="4B41D944">
      <w:pPr>
        <w:pStyle w:val="15"/>
        <w:pageBreakBefore w:val="0"/>
        <w:kinsoku/>
        <w:wordWrap/>
        <w:overflowPunct/>
        <w:topLinePunct w:val="0"/>
        <w:autoSpaceDE/>
        <w:autoSpaceDN/>
        <w:bidi w:val="0"/>
        <w:spacing w:line="578" w:lineRule="exact"/>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kern w:val="2"/>
          <w:sz w:val="32"/>
          <w:szCs w:val="32"/>
          <w:highlight w:val="none"/>
          <w:lang w:val="en-US" w:eastAsia="zh-CN" w:bidi="ar-SA"/>
        </w:rPr>
        <w:t>（1）持续推进优质医疗资源扩容和均衡布局</w:t>
      </w:r>
    </w:p>
    <w:p w14:paraId="47BA814C">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绩效目标：加快推进公立医院改革与高质量发展示范项目。</w:t>
      </w:r>
    </w:p>
    <w:p w14:paraId="4FA4434E">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14:paraId="50EFC048">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①加快卫生健康信息化建设步伐，建设市级公立医院云影像服务中心，积极探索与省级医院的对接，为群众逐步打通省、市、县三级公立医院间CT、核磁等影像信息的共享通道，用新的云存储方式逐步代替传统胶片，让群众就医更便捷、少花钱；</w:t>
      </w:r>
    </w:p>
    <w:p w14:paraId="43ED3F77">
      <w:pPr>
        <w:pStyle w:val="15"/>
        <w:pageBreakBefore w:val="0"/>
        <w:kinsoku/>
        <w:wordWrap/>
        <w:overflowPunct/>
        <w:topLinePunct w:val="0"/>
        <w:autoSpaceDE/>
        <w:autoSpaceDN/>
        <w:bidi w:val="0"/>
        <w:spacing w:line="578" w:lineRule="exact"/>
        <w:rPr>
          <w:rFonts w:hint="eastAsia" w:ascii="仿宋_GB2312" w:hAnsi="仿宋_GB2312" w:eastAsia="仿宋_GB2312" w:cs="仿宋_GB2312"/>
          <w:sz w:val="32"/>
          <w:szCs w:val="32"/>
          <w:highlight w:val="yellow"/>
        </w:rPr>
      </w:pPr>
      <w:r>
        <w:rPr>
          <w:rFonts w:hint="eastAsia" w:ascii="仿宋_GB2312" w:hAnsi="仿宋_GB2312" w:eastAsia="仿宋_GB2312" w:cs="仿宋_GB2312"/>
          <w:kern w:val="2"/>
          <w:sz w:val="32"/>
          <w:szCs w:val="32"/>
          <w:highlight w:val="none"/>
          <w:lang w:val="en-US" w:eastAsia="zh-CN" w:bidi="ar-SA"/>
        </w:rPr>
        <w:t>②深入推进紧密型县域医共体建设提质扩面，力争2024年20%的县（市、区）建成市级示范县，县域内住院人次占比、基层医疗卫生机构门(急)诊人次占比同比提升,群众健康服务获得感持续增强。</w:t>
      </w:r>
    </w:p>
    <w:p w14:paraId="338EFDFE">
      <w:pPr>
        <w:pStyle w:val="15"/>
        <w:pageBreakBefore w:val="0"/>
        <w:kinsoku/>
        <w:wordWrap/>
        <w:overflowPunct/>
        <w:topLinePunct w:val="0"/>
        <w:autoSpaceDE/>
        <w:autoSpaceDN/>
        <w:bidi w:val="0"/>
        <w:spacing w:line="578" w:lineRule="exact"/>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b/>
          <w:bCs/>
          <w:kern w:val="2"/>
          <w:sz w:val="32"/>
          <w:szCs w:val="32"/>
          <w:highlight w:val="none"/>
          <w:lang w:val="en-US" w:eastAsia="zh-CN" w:bidi="ar-SA"/>
        </w:rPr>
        <w:t>（2）持续深化京津冀医疗卫生协同发展</w:t>
      </w:r>
    </w:p>
    <w:p w14:paraId="03E33D57">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绩效目标：推进重点项目建设。</w:t>
      </w:r>
    </w:p>
    <w:p w14:paraId="78B4D865">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14:paraId="465DB362">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①全面推进北大人民医院石家庄医院国家区域医疗中心建设；</w:t>
      </w:r>
    </w:p>
    <w:p w14:paraId="32EB7D58">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②扎实推动天津中医一附院石家庄医院、首都儿研所附属儿童医院石家庄医院高质量发展；</w:t>
      </w:r>
    </w:p>
    <w:p w14:paraId="4309B0FC">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③鼓励支持各级医疗机构与京津高水平医院开展一批深层次合作项目，为群众提供更高品质、更加便捷的医疗服务。</w:t>
      </w:r>
    </w:p>
    <w:p w14:paraId="186720BA">
      <w:pPr>
        <w:pStyle w:val="15"/>
        <w:pageBreakBefore w:val="0"/>
        <w:kinsoku/>
        <w:wordWrap/>
        <w:overflowPunct/>
        <w:topLinePunct w:val="0"/>
        <w:autoSpaceDE/>
        <w:autoSpaceDN/>
        <w:bidi w:val="0"/>
        <w:spacing w:line="578" w:lineRule="exact"/>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b/>
          <w:bCs/>
          <w:kern w:val="2"/>
          <w:sz w:val="32"/>
          <w:szCs w:val="32"/>
          <w:highlight w:val="none"/>
          <w:lang w:val="en-US" w:eastAsia="zh-CN" w:bidi="ar-SA"/>
        </w:rPr>
        <w:t>（3）持续提升基层医疗卫生服务水平</w:t>
      </w:r>
    </w:p>
    <w:p w14:paraId="3887227F">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绩效目标：加快推动基层医疗卫生健康高质量发展。</w:t>
      </w:r>
    </w:p>
    <w:p w14:paraId="7419BEB5">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14:paraId="59C8DB07">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①深化优质服务基层行和社区医院建设，保持全省特色专科创建优势，力争 2024年创建推荐标准机构5个，新增社区医院2个，新增基层特色专科5个；</w:t>
      </w:r>
    </w:p>
    <w:p w14:paraId="0CC22DFD">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②统筹推进基本公共卫生服务医防融合机制建设，打造以慢病为主的医防融合示范机构10所，深化打造2个医防融合示范区；</w:t>
      </w:r>
    </w:p>
    <w:p w14:paraId="7D7D4F8D">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③在基本实现乡镇卫生院（社区卫生服务中心）国医堂全覆盖基础上，建设25家高水平国医堂，平均服务面积达到300平米以上，持续改善诊疗服务环境；</w:t>
      </w:r>
    </w:p>
    <w:p w14:paraId="21A1B46E">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④在全市选取基础设施较好、中医药服务能力较强的社区卫生服务站和村卫生室建设30家中医阁,进一步提升基层中医药服务质量和服务能力。</w:t>
      </w:r>
    </w:p>
    <w:p w14:paraId="7DC86A3E">
      <w:pPr>
        <w:pStyle w:val="15"/>
        <w:pageBreakBefore w:val="0"/>
        <w:kinsoku/>
        <w:wordWrap/>
        <w:overflowPunct/>
        <w:topLinePunct w:val="0"/>
        <w:autoSpaceDE/>
        <w:autoSpaceDN/>
        <w:bidi w:val="0"/>
        <w:spacing w:line="578" w:lineRule="exact"/>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b/>
          <w:bCs/>
          <w:kern w:val="2"/>
          <w:sz w:val="32"/>
          <w:szCs w:val="32"/>
          <w:highlight w:val="none"/>
          <w:lang w:val="en-US" w:eastAsia="zh-CN" w:bidi="ar-SA"/>
        </w:rPr>
        <w:t>（4）持续做好重点人群健康服务保障</w:t>
      </w:r>
    </w:p>
    <w:p w14:paraId="1ECE962C">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绩效目标：做好孕产妇、婴幼儿重点人群健康服务保障。</w:t>
      </w:r>
    </w:p>
    <w:p w14:paraId="266AC0C1">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14:paraId="048CD60F">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①.大力发展普惠托育，不断扩大托育服务供给，2024年底前千人口托位数达到4.2个；</w:t>
      </w:r>
    </w:p>
    <w:p w14:paraId="1193188B">
      <w:pPr>
        <w:pStyle w:val="15"/>
        <w:pageBreakBefore w:val="0"/>
        <w:shd w:val="clear"/>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②持续做好孕妇免费产前基因筛查，及时干预、早诊早治，逐步提高出生人口素质；</w:t>
      </w:r>
    </w:p>
    <w:p w14:paraId="23FF029A">
      <w:pPr>
        <w:pStyle w:val="15"/>
        <w:pageBreakBefore w:val="0"/>
        <w:shd w:val="clear"/>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③巩固落实母婴安全各项制度措施，持续推进“三孩”优生优育指导门诊和市、县级危重孕产妇和新生儿救治中心标准化建设，坚决守住母婴安全红线；</w:t>
      </w:r>
    </w:p>
    <w:p w14:paraId="2921030D">
      <w:pPr>
        <w:pStyle w:val="15"/>
        <w:pageBreakBefore w:val="0"/>
        <w:shd w:val="clear"/>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④全面规范落实预防母婴传播综合干预服务，减少相关疾病母婴传播，持续做好14周岁女孩免费接种HPV疫苗，不断提高妇女儿童健康水平和生活质量。</w:t>
      </w:r>
    </w:p>
    <w:p w14:paraId="327AAEF0">
      <w:pPr>
        <w:pStyle w:val="15"/>
        <w:pageBreakBefore w:val="0"/>
        <w:kinsoku/>
        <w:wordWrap/>
        <w:overflowPunct/>
        <w:topLinePunct w:val="0"/>
        <w:autoSpaceDE/>
        <w:autoSpaceDN/>
        <w:bidi w:val="0"/>
        <w:spacing w:line="578" w:lineRule="exact"/>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b/>
          <w:bCs/>
          <w:kern w:val="2"/>
          <w:sz w:val="32"/>
          <w:szCs w:val="32"/>
          <w:highlight w:val="none"/>
          <w:lang w:val="en-US" w:eastAsia="zh-CN" w:bidi="ar-SA"/>
        </w:rPr>
        <w:t>（5）持续提升公共卫生服务能力</w:t>
      </w:r>
    </w:p>
    <w:p w14:paraId="3913003A">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绩效目标：加快推进疾控体系改革落地见效，建立健全并优化完善一套适应疾控体系改革，自上而下、防治结合、运转高效的新工作机制。</w:t>
      </w:r>
    </w:p>
    <w:p w14:paraId="06249FB2">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14:paraId="3C96C6BE">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①以市第五医院为依托，探索建立全市传染病治疗管理中心；</w:t>
      </w:r>
    </w:p>
    <w:p w14:paraId="3E276B3D">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②扎实开展重大传染病防治，力争2024年建成1家全国示范示教预防接种门诊、1家特殊健康状态儿童预防接种门诊、100家示范性预防接种门诊，在全省率先实现县级定点医院结核门诊标准化建设全覆盖，探索构建寒潮预警平台，及时向公众进行寒潮预警、提供防控措施建议；</w:t>
      </w:r>
    </w:p>
    <w:p w14:paraId="3EFA9ADF">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③研发石家庄市免疫规划大数据决策预警系统，实时掌握门诊设置及人员管理、疫苗和冷链管理、儿童入托入学查验接种证管理、疫苗接种率等。</w:t>
      </w:r>
    </w:p>
    <w:p w14:paraId="3376DDBA">
      <w:pPr>
        <w:pStyle w:val="15"/>
        <w:pageBreakBefore w:val="0"/>
        <w:numPr>
          <w:ilvl w:val="0"/>
          <w:numId w:val="0"/>
        </w:numPr>
        <w:kinsoku/>
        <w:wordWrap/>
        <w:overflowPunct/>
        <w:topLinePunct w:val="0"/>
        <w:autoSpaceDE/>
        <w:autoSpaceDN/>
        <w:bidi w:val="0"/>
        <w:spacing w:line="578" w:lineRule="exact"/>
        <w:ind w:firstLine="643" w:firstLineChars="200"/>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b/>
          <w:bCs/>
          <w:kern w:val="2"/>
          <w:sz w:val="32"/>
          <w:szCs w:val="32"/>
          <w:highlight w:val="none"/>
          <w:lang w:val="en-US" w:eastAsia="zh-CN" w:bidi="ar-SA"/>
        </w:rPr>
        <w:t>（6）持续深化健康石家庄建设</w:t>
      </w:r>
    </w:p>
    <w:p w14:paraId="04FFA2F9">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绩效目标：持续推进卫生县、卫生乡镇、卫生村建设。</w:t>
      </w:r>
    </w:p>
    <w:p w14:paraId="5ED76086">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14:paraId="631543A1">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default" w:ascii="仿宋_GB2312" w:hAnsi="仿宋_GB2312" w:eastAsia="仿宋_GB2312" w:cs="仿宋_GB2312"/>
          <w:kern w:val="2"/>
          <w:sz w:val="32"/>
          <w:szCs w:val="32"/>
          <w:highlight w:val="none"/>
          <w:lang w:val="en-US" w:eastAsia="zh-CN" w:bidi="ar-SA"/>
        </w:rPr>
        <w:t>①</w:t>
      </w:r>
      <w:r>
        <w:rPr>
          <w:rFonts w:hint="eastAsia" w:ascii="仿宋_GB2312" w:hAnsi="仿宋_GB2312" w:eastAsia="仿宋_GB2312" w:cs="仿宋_GB2312"/>
          <w:kern w:val="2"/>
          <w:sz w:val="32"/>
          <w:szCs w:val="32"/>
          <w:highlight w:val="none"/>
          <w:lang w:val="en-US" w:eastAsia="zh-CN" w:bidi="ar-SA"/>
        </w:rPr>
        <w:t>做好晋州市、井陉县、元氏县、赵县国家卫生县技术指导和评估，力争4个县全部建成国家卫生县；</w:t>
      </w:r>
    </w:p>
    <w:p w14:paraId="5B3876B8">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default" w:ascii="仿宋_GB2312" w:hAnsi="仿宋_GB2312" w:eastAsia="仿宋_GB2312" w:cs="仿宋_GB2312"/>
          <w:kern w:val="2"/>
          <w:sz w:val="32"/>
          <w:szCs w:val="32"/>
          <w:highlight w:val="none"/>
          <w:lang w:val="en-US" w:eastAsia="zh-CN" w:bidi="ar-SA"/>
        </w:rPr>
        <w:t>②</w:t>
      </w:r>
      <w:r>
        <w:rPr>
          <w:rFonts w:hint="eastAsia" w:ascii="仿宋_GB2312" w:hAnsi="仿宋_GB2312" w:eastAsia="仿宋_GB2312" w:cs="仿宋_GB2312"/>
          <w:kern w:val="2"/>
          <w:sz w:val="32"/>
          <w:szCs w:val="32"/>
          <w:highlight w:val="none"/>
          <w:lang w:val="en-US" w:eastAsia="zh-CN" w:bidi="ar-SA"/>
        </w:rPr>
        <w:t>指导平山县西柏坡镇等17个乡镇创建成国家卫生乡镇，同时继续创建一批省级卫生乡镇、卫生村；</w:t>
      </w:r>
    </w:p>
    <w:p w14:paraId="29FD5A61">
      <w:pPr>
        <w:pStyle w:val="15"/>
        <w:pageBreakBefore w:val="0"/>
        <w:kinsoku/>
        <w:wordWrap/>
        <w:overflowPunct/>
        <w:topLinePunct w:val="0"/>
        <w:autoSpaceDE/>
        <w:autoSpaceDN/>
        <w:bidi w:val="0"/>
        <w:spacing w:line="578" w:lineRule="exact"/>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③强化健康教育与健康促进，建立健全全媒体健康科普知识发布和传播机制，科学、规范、有序推进省级健康场所建设，力争2024年创建省级健康县区4个、省级健康促进医院4家、省级健康教育基地1个。</w:t>
      </w:r>
    </w:p>
    <w:p w14:paraId="1793FA26">
      <w:pPr>
        <w:keepNext w:val="0"/>
        <w:keepLines w:val="0"/>
        <w:pageBreakBefore w:val="0"/>
        <w:widowControl w:val="0"/>
        <w:numPr>
          <w:ilvl w:val="0"/>
          <w:numId w:val="1"/>
        </w:numPr>
        <w:kinsoku/>
        <w:wordWrap/>
        <w:overflowPunct/>
        <w:topLinePunct w:val="0"/>
        <w:autoSpaceDE/>
        <w:autoSpaceDN/>
        <w:bidi w:val="0"/>
        <w:adjustRightInd w:val="0"/>
        <w:snapToGrid w:val="0"/>
        <w:spacing w:line="578" w:lineRule="exact"/>
        <w:ind w:left="0" w:leftChars="0" w:right="0" w:firstLine="640" w:firstLineChars="200"/>
        <w:textAlignment w:val="auto"/>
        <w:outlineLvl w:val="0"/>
        <w:rPr>
          <w:rFonts w:hint="eastAsia" w:ascii="黑体" w:hAnsi="黑体" w:eastAsia="黑体"/>
          <w:sz w:val="32"/>
          <w:szCs w:val="32"/>
          <w:highlight w:val="none"/>
        </w:rPr>
      </w:pPr>
      <w:bookmarkStart w:id="8" w:name="_Toc9990"/>
      <w:r>
        <w:rPr>
          <w:rFonts w:hint="eastAsia" w:ascii="黑体" w:hAnsi="黑体" w:eastAsia="黑体"/>
          <w:sz w:val="32"/>
          <w:szCs w:val="32"/>
          <w:highlight w:val="none"/>
        </w:rPr>
        <w:t>自评工作</w:t>
      </w:r>
      <w:r>
        <w:rPr>
          <w:rFonts w:hint="eastAsia" w:ascii="黑体" w:hAnsi="黑体" w:eastAsia="黑体"/>
          <w:sz w:val="32"/>
          <w:szCs w:val="32"/>
          <w:highlight w:val="none"/>
          <w:lang w:eastAsia="zh-CN"/>
        </w:rPr>
        <w:t>开展</w:t>
      </w:r>
      <w:r>
        <w:rPr>
          <w:rFonts w:hint="eastAsia" w:ascii="黑体" w:hAnsi="黑体" w:eastAsia="黑体"/>
          <w:sz w:val="32"/>
          <w:szCs w:val="32"/>
          <w:highlight w:val="none"/>
        </w:rPr>
        <w:t>情况</w:t>
      </w:r>
      <w:bookmarkEnd w:id="8"/>
    </w:p>
    <w:p w14:paraId="3DD4CFC2">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outlineLvl w:val="1"/>
        <w:rPr>
          <w:rFonts w:hint="eastAsia" w:ascii="楷体" w:hAnsi="楷体" w:eastAsia="楷体" w:cs="楷体"/>
          <w:b w:val="0"/>
          <w:bCs w:val="0"/>
          <w:sz w:val="32"/>
          <w:szCs w:val="32"/>
          <w:highlight w:val="none"/>
          <w:lang w:eastAsia="zh-CN"/>
        </w:rPr>
      </w:pPr>
      <w:bookmarkStart w:id="9" w:name="_Toc29873"/>
      <w:r>
        <w:rPr>
          <w:rFonts w:hint="eastAsia" w:ascii="楷体" w:hAnsi="楷体" w:eastAsia="楷体" w:cs="楷体"/>
          <w:b w:val="0"/>
          <w:bCs w:val="0"/>
          <w:sz w:val="32"/>
          <w:szCs w:val="32"/>
          <w:highlight w:val="none"/>
          <w:lang w:eastAsia="zh-CN"/>
        </w:rPr>
        <w:t>（一）自评的组织工作</w:t>
      </w:r>
      <w:bookmarkEnd w:id="9"/>
    </w:p>
    <w:p w14:paraId="26FA78AE">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ascii="仿宋_GB2312" w:hAnsi="仿宋_GB2312" w:eastAsia="仿宋_GB2312" w:cs="仿宋_GB2312"/>
          <w:sz w:val="32"/>
          <w:szCs w:val="32"/>
          <w:highlight w:val="yellow"/>
        </w:rPr>
      </w:pPr>
      <w:r>
        <w:rPr>
          <w:rFonts w:hint="eastAsia" w:ascii="仿宋_GB2312" w:hAnsi="仿宋_GB2312" w:eastAsia="仿宋_GB2312" w:cs="仿宋_GB2312"/>
          <w:color w:val="auto"/>
          <w:kern w:val="0"/>
          <w:sz w:val="32"/>
          <w:szCs w:val="32"/>
          <w:highlight w:val="none"/>
          <w:lang w:val="en-US" w:eastAsia="zh-CN"/>
        </w:rPr>
        <w:t>我委高度重视此次年度预算绩效评价工作，成立了绩效评价工作组，由</w:t>
      </w:r>
      <w:r>
        <w:rPr>
          <w:rFonts w:hint="eastAsia" w:ascii="仿宋_GB2312" w:hAnsi="仿宋_GB2312" w:eastAsia="仿宋_GB2312" w:cs="仿宋_GB2312"/>
          <w:sz w:val="32"/>
          <w:szCs w:val="32"/>
          <w:highlight w:val="none"/>
          <w:lang w:val="en-US" w:eastAsia="zh-CN"/>
        </w:rPr>
        <w:t xml:space="preserve">石家庄市卫健委副主任 </w:t>
      </w:r>
      <w:r>
        <w:rPr>
          <w:rFonts w:hint="eastAsia" w:ascii="仿宋_GB2312" w:hAnsi="仿宋_GB2312" w:eastAsia="仿宋_GB2312" w:cs="仿宋_GB2312"/>
          <w:color w:val="auto"/>
          <w:kern w:val="0"/>
          <w:sz w:val="32"/>
          <w:szCs w:val="32"/>
          <w:highlight w:val="none"/>
          <w:lang w:val="en-US" w:eastAsia="zh-CN"/>
        </w:rPr>
        <w:t>施文国任绩效评价组组长，</w:t>
      </w:r>
      <w:r>
        <w:rPr>
          <w:rFonts w:hint="eastAsia" w:ascii="仿宋_GB2312" w:hAnsi="仿宋_GB2312" w:eastAsia="仿宋_GB2312" w:cs="仿宋_GB2312"/>
          <w:sz w:val="32"/>
          <w:szCs w:val="32"/>
          <w:highlight w:val="none"/>
        </w:rPr>
        <w:t>成员包括</w:t>
      </w:r>
      <w:r>
        <w:rPr>
          <w:rFonts w:hint="eastAsia" w:ascii="仿宋_GB2312" w:hAnsi="仿宋_GB2312" w:eastAsia="仿宋_GB2312" w:cs="仿宋_GB2312"/>
          <w:sz w:val="32"/>
          <w:szCs w:val="32"/>
          <w:highlight w:val="none"/>
          <w:lang w:val="en-US" w:eastAsia="zh-CN"/>
        </w:rPr>
        <w:t>杨伟娟、赵一丁</w:t>
      </w:r>
      <w:r>
        <w:rPr>
          <w:rFonts w:hint="eastAsia" w:ascii="仿宋_GB2312" w:hAnsi="仿宋_GB2312" w:eastAsia="仿宋_GB2312" w:cs="仿宋_GB2312"/>
          <w:color w:val="auto"/>
          <w:kern w:val="0"/>
          <w:sz w:val="32"/>
          <w:szCs w:val="32"/>
          <w:highlight w:val="none"/>
          <w:lang w:val="en-US" w:eastAsia="zh-CN"/>
        </w:rPr>
        <w:t>、刘萱瑶、孟伟及项目主管部门相关负责人。</w:t>
      </w:r>
    </w:p>
    <w:p w14:paraId="4588986B">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按照通知要求，评</w:t>
      </w:r>
      <w:bookmarkStart w:id="10" w:name="_Hlk43651802"/>
      <w:r>
        <w:rPr>
          <w:rFonts w:hint="eastAsia" w:ascii="仿宋_GB2312" w:hAnsi="仿宋_GB2312" w:eastAsia="仿宋_GB2312" w:cs="仿宋_GB2312"/>
          <w:sz w:val="32"/>
          <w:szCs w:val="32"/>
          <w:highlight w:val="none"/>
        </w:rPr>
        <w:t>价工作组制定自评工作方案，明确评价内容、评价程序及时间安排。组织相关人员召开专题会议，传达自评价工作要求和部署各项工作安排。全面收集评价所需基础信息资料并对资料进行分类整理、审查和分析</w:t>
      </w:r>
      <w:bookmarkEnd w:id="10"/>
      <w:r>
        <w:rPr>
          <w:rFonts w:hint="eastAsia" w:ascii="仿宋_GB2312" w:hAnsi="仿宋_GB2312" w:eastAsia="仿宋_GB2312" w:cs="仿宋_GB2312"/>
          <w:sz w:val="32"/>
          <w:szCs w:val="32"/>
          <w:highlight w:val="none"/>
        </w:rPr>
        <w:t>。</w:t>
      </w:r>
    </w:p>
    <w:p w14:paraId="6D5E2DF7">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outlineLvl w:val="1"/>
        <w:rPr>
          <w:rFonts w:hint="eastAsia" w:ascii="楷体" w:hAnsi="楷体" w:eastAsia="楷体" w:cs="楷体"/>
          <w:b w:val="0"/>
          <w:bCs w:val="0"/>
          <w:sz w:val="32"/>
          <w:szCs w:val="32"/>
          <w:highlight w:val="none"/>
          <w:lang w:eastAsia="zh-CN"/>
        </w:rPr>
      </w:pPr>
      <w:bookmarkStart w:id="11" w:name="_Toc1205"/>
      <w:bookmarkStart w:id="12" w:name="_Toc16269"/>
      <w:bookmarkStart w:id="13" w:name="_Toc11327"/>
      <w:r>
        <w:rPr>
          <w:rFonts w:hint="eastAsia" w:ascii="楷体" w:hAnsi="楷体" w:eastAsia="楷体" w:cs="楷体"/>
          <w:b w:val="0"/>
          <w:bCs w:val="0"/>
          <w:sz w:val="32"/>
          <w:szCs w:val="32"/>
          <w:highlight w:val="none"/>
          <w:lang w:eastAsia="zh-CN"/>
        </w:rPr>
        <w:t>（</w:t>
      </w:r>
      <w:r>
        <w:rPr>
          <w:rFonts w:hint="eastAsia" w:ascii="楷体" w:hAnsi="楷体" w:eastAsia="楷体" w:cs="楷体"/>
          <w:b w:val="0"/>
          <w:bCs w:val="0"/>
          <w:sz w:val="32"/>
          <w:szCs w:val="32"/>
          <w:highlight w:val="none"/>
          <w:lang w:val="en-US" w:eastAsia="zh-CN"/>
        </w:rPr>
        <w:t>二</w:t>
      </w:r>
      <w:r>
        <w:rPr>
          <w:rFonts w:hint="eastAsia" w:ascii="楷体" w:hAnsi="楷体" w:eastAsia="楷体" w:cs="楷体"/>
          <w:b w:val="0"/>
          <w:bCs w:val="0"/>
          <w:sz w:val="32"/>
          <w:szCs w:val="32"/>
          <w:highlight w:val="none"/>
          <w:lang w:eastAsia="zh-CN"/>
        </w:rPr>
        <w:t>）绩效自评目的</w:t>
      </w:r>
      <w:bookmarkEnd w:id="11"/>
      <w:bookmarkEnd w:id="12"/>
      <w:bookmarkEnd w:id="13"/>
    </w:p>
    <w:p w14:paraId="64CDF289">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highlight w:val="none"/>
        </w:rPr>
      </w:pPr>
      <w:bookmarkStart w:id="14" w:name="_Toc19442"/>
      <w:bookmarkStart w:id="15" w:name="_Toc22462"/>
      <w:bookmarkStart w:id="16" w:name="_Toc7758"/>
      <w:r>
        <w:rPr>
          <w:rFonts w:hint="eastAsia" w:ascii="仿宋_GB2312" w:hAnsi="仿宋_GB2312" w:eastAsia="仿宋_GB2312" w:cs="仿宋_GB2312"/>
          <w:sz w:val="32"/>
          <w:szCs w:val="32"/>
          <w:highlight w:val="none"/>
        </w:rPr>
        <w:t>本次绩效自评将结合</w:t>
      </w:r>
      <w:r>
        <w:rPr>
          <w:rFonts w:hint="eastAsia" w:ascii="仿宋_GB2312" w:hAnsi="仿宋_GB2312" w:eastAsia="仿宋_GB2312" w:cs="仿宋_GB2312"/>
          <w:sz w:val="32"/>
          <w:szCs w:val="32"/>
          <w:highlight w:val="none"/>
          <w:lang w:eastAsia="zh-CN"/>
        </w:rPr>
        <w:t>我委</w:t>
      </w:r>
      <w:r>
        <w:rPr>
          <w:rFonts w:hint="eastAsia" w:ascii="仿宋_GB2312" w:hAnsi="仿宋_GB2312" w:eastAsia="仿宋_GB2312" w:cs="仿宋_GB2312"/>
          <w:sz w:val="32"/>
          <w:szCs w:val="32"/>
          <w:highlight w:val="none"/>
        </w:rPr>
        <w:t>20</w:t>
      </w:r>
      <w:r>
        <w:rPr>
          <w:rFonts w:hint="eastAsia" w:ascii="仿宋_GB2312" w:hAnsi="仿宋_GB2312" w:eastAsia="仿宋_GB2312" w:cs="仿宋_GB2312"/>
          <w:sz w:val="32"/>
          <w:szCs w:val="32"/>
          <w:highlight w:val="none"/>
          <w:lang w:val="en-US" w:eastAsia="zh-CN"/>
        </w:rPr>
        <w:t>24</w:t>
      </w:r>
      <w:r>
        <w:rPr>
          <w:rFonts w:hint="eastAsia" w:ascii="仿宋_GB2312" w:hAnsi="仿宋_GB2312" w:eastAsia="仿宋_GB2312" w:cs="仿宋_GB2312"/>
          <w:sz w:val="32"/>
          <w:szCs w:val="32"/>
          <w:highlight w:val="none"/>
        </w:rPr>
        <w:t>年度部门整体支出实际情况，运用科学、规范、合理的评价方法，全面、真实、客观地对</w:t>
      </w:r>
      <w:r>
        <w:rPr>
          <w:rFonts w:hint="eastAsia" w:ascii="仿宋_GB2312" w:hAnsi="仿宋_GB2312" w:eastAsia="仿宋_GB2312" w:cs="仿宋_GB2312"/>
          <w:sz w:val="32"/>
          <w:szCs w:val="32"/>
          <w:highlight w:val="none"/>
          <w:lang w:eastAsia="zh-CN"/>
        </w:rPr>
        <w:t>我委</w:t>
      </w:r>
      <w:r>
        <w:rPr>
          <w:rFonts w:hint="eastAsia" w:ascii="仿宋_GB2312" w:hAnsi="仿宋_GB2312" w:eastAsia="仿宋_GB2312" w:cs="仿宋_GB2312"/>
          <w:sz w:val="32"/>
          <w:szCs w:val="32"/>
          <w:highlight w:val="none"/>
        </w:rPr>
        <w:t>年度一般公共预算财政拨款资金支出情况、相关制度健全性、项目完成情况及部门履职效果等内容进行综合评价全面反映财政资金使用成效和部门职能的实现程度，针对评价过程中发现的问题进一步提出相关意见建议，为以后年度</w:t>
      </w:r>
      <w:r>
        <w:rPr>
          <w:rFonts w:hint="eastAsia" w:ascii="仿宋_GB2312" w:hAnsi="仿宋_GB2312" w:eastAsia="仿宋_GB2312" w:cs="仿宋_GB2312"/>
          <w:sz w:val="32"/>
          <w:szCs w:val="32"/>
          <w:highlight w:val="none"/>
          <w:lang w:eastAsia="zh-CN"/>
        </w:rPr>
        <w:t>我委</w:t>
      </w:r>
      <w:r>
        <w:rPr>
          <w:rFonts w:hint="eastAsia" w:ascii="仿宋_GB2312" w:hAnsi="仿宋_GB2312" w:eastAsia="仿宋_GB2312" w:cs="仿宋_GB2312"/>
          <w:sz w:val="32"/>
          <w:szCs w:val="32"/>
          <w:highlight w:val="none"/>
        </w:rPr>
        <w:t>履行部门职责作出更好的预算管理和资金安排。</w:t>
      </w:r>
    </w:p>
    <w:p w14:paraId="0298C53D">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outlineLvl w:val="1"/>
        <w:rPr>
          <w:rFonts w:hint="eastAsia" w:ascii="楷体" w:hAnsi="楷体" w:eastAsia="楷体" w:cs="楷体"/>
          <w:b w:val="0"/>
          <w:bCs w:val="0"/>
          <w:sz w:val="32"/>
          <w:szCs w:val="32"/>
          <w:highlight w:val="none"/>
          <w:lang w:eastAsia="zh-CN"/>
        </w:rPr>
      </w:pPr>
      <w:bookmarkStart w:id="17" w:name="_Toc15885"/>
      <w:r>
        <w:rPr>
          <w:rFonts w:hint="eastAsia" w:ascii="楷体" w:hAnsi="楷体" w:eastAsia="楷体" w:cs="楷体"/>
          <w:b w:val="0"/>
          <w:bCs w:val="0"/>
          <w:sz w:val="32"/>
          <w:szCs w:val="32"/>
          <w:highlight w:val="none"/>
          <w:lang w:eastAsia="zh-CN"/>
        </w:rPr>
        <w:t>（</w:t>
      </w:r>
      <w:r>
        <w:rPr>
          <w:rFonts w:hint="eastAsia" w:ascii="楷体" w:hAnsi="楷体" w:eastAsia="楷体" w:cs="楷体"/>
          <w:b w:val="0"/>
          <w:bCs w:val="0"/>
          <w:sz w:val="32"/>
          <w:szCs w:val="32"/>
          <w:highlight w:val="none"/>
          <w:lang w:val="en-US" w:eastAsia="zh-CN"/>
        </w:rPr>
        <w:t>三</w:t>
      </w:r>
      <w:r>
        <w:rPr>
          <w:rFonts w:hint="eastAsia" w:ascii="楷体" w:hAnsi="楷体" w:eastAsia="楷体" w:cs="楷体"/>
          <w:b w:val="0"/>
          <w:bCs w:val="0"/>
          <w:sz w:val="32"/>
          <w:szCs w:val="32"/>
          <w:highlight w:val="none"/>
          <w:lang w:eastAsia="zh-CN"/>
        </w:rPr>
        <w:t>）绩效自评内容</w:t>
      </w:r>
      <w:bookmarkEnd w:id="14"/>
      <w:bookmarkEnd w:id="15"/>
      <w:bookmarkEnd w:id="17"/>
    </w:p>
    <w:p w14:paraId="71F93E54">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本次</w:t>
      </w:r>
      <w:r>
        <w:rPr>
          <w:rFonts w:hint="eastAsia" w:ascii="仿宋_GB2312" w:hAnsi="仿宋_GB2312" w:eastAsia="仿宋_GB2312" w:cs="仿宋_GB2312"/>
          <w:sz w:val="32"/>
          <w:szCs w:val="32"/>
          <w:highlight w:val="none"/>
          <w:lang w:val="en-US" w:eastAsia="zh-CN"/>
        </w:rPr>
        <w:t>我委</w:t>
      </w:r>
      <w:r>
        <w:rPr>
          <w:rFonts w:hint="eastAsia" w:ascii="仿宋_GB2312" w:hAnsi="仿宋_GB2312" w:eastAsia="仿宋_GB2312" w:cs="仿宋_GB2312"/>
          <w:sz w:val="32"/>
          <w:szCs w:val="32"/>
          <w:highlight w:val="none"/>
        </w:rPr>
        <w:t>部门整体支出绩效自评主要自评内容包括</w:t>
      </w:r>
      <w:r>
        <w:rPr>
          <w:rFonts w:hint="eastAsia" w:ascii="仿宋_GB2312" w:hAnsi="仿宋_GB2312" w:eastAsia="仿宋_GB2312" w:cs="仿宋_GB2312"/>
          <w:b/>
          <w:bCs/>
          <w:sz w:val="32"/>
          <w:szCs w:val="32"/>
          <w:highlight w:val="none"/>
        </w:rPr>
        <w:t>一是</w:t>
      </w:r>
      <w:r>
        <w:rPr>
          <w:rFonts w:hint="eastAsia" w:ascii="仿宋_GB2312" w:hAnsi="仿宋_GB2312" w:eastAsia="仿宋_GB2312" w:cs="仿宋_GB2312"/>
          <w:sz w:val="32"/>
          <w:szCs w:val="32"/>
          <w:highlight w:val="none"/>
        </w:rPr>
        <w:t>绩效目标和预算编制情况；</w:t>
      </w:r>
      <w:r>
        <w:rPr>
          <w:rFonts w:hint="eastAsia" w:ascii="仿宋_GB2312" w:hAnsi="仿宋_GB2312" w:eastAsia="仿宋_GB2312" w:cs="仿宋_GB2312"/>
          <w:b/>
          <w:bCs/>
          <w:sz w:val="32"/>
          <w:szCs w:val="32"/>
          <w:highlight w:val="none"/>
        </w:rPr>
        <w:t>二是</w:t>
      </w:r>
      <w:r>
        <w:rPr>
          <w:rFonts w:hint="eastAsia" w:ascii="仿宋_GB2312" w:hAnsi="仿宋_GB2312" w:eastAsia="仿宋_GB2312" w:cs="仿宋_GB2312"/>
          <w:sz w:val="32"/>
          <w:szCs w:val="32"/>
          <w:highlight w:val="none"/>
        </w:rPr>
        <w:t>部门</w:t>
      </w:r>
      <w:r>
        <w:rPr>
          <w:rFonts w:hint="eastAsia" w:ascii="仿宋_GB2312" w:hAnsi="仿宋_GB2312" w:eastAsia="仿宋_GB2312" w:cs="仿宋_GB2312"/>
          <w:sz w:val="32"/>
          <w:szCs w:val="32"/>
          <w:highlight w:val="none"/>
          <w:lang w:val="en-US" w:eastAsia="zh-CN"/>
        </w:rPr>
        <w:t>预决算收支</w:t>
      </w:r>
      <w:r>
        <w:rPr>
          <w:rFonts w:hint="eastAsia" w:ascii="仿宋_GB2312" w:hAnsi="仿宋_GB2312" w:eastAsia="仿宋_GB2312" w:cs="仿宋_GB2312"/>
          <w:sz w:val="32"/>
          <w:szCs w:val="32"/>
          <w:highlight w:val="none"/>
        </w:rPr>
        <w:t>情况；</w:t>
      </w:r>
      <w:r>
        <w:rPr>
          <w:rFonts w:hint="eastAsia" w:ascii="仿宋_GB2312" w:hAnsi="仿宋_GB2312" w:eastAsia="仿宋_GB2312" w:cs="仿宋_GB2312"/>
          <w:b/>
          <w:bCs/>
          <w:sz w:val="32"/>
          <w:szCs w:val="32"/>
          <w:highlight w:val="none"/>
        </w:rPr>
        <w:t>三是</w:t>
      </w:r>
      <w:r>
        <w:rPr>
          <w:rFonts w:hint="eastAsia" w:ascii="仿宋_GB2312" w:hAnsi="仿宋_GB2312" w:eastAsia="仿宋_GB2312" w:cs="仿宋_GB2312"/>
          <w:sz w:val="32"/>
          <w:szCs w:val="32"/>
          <w:highlight w:val="none"/>
        </w:rPr>
        <w:t>部门年度总体绩效目标完成情况；</w:t>
      </w:r>
      <w:r>
        <w:rPr>
          <w:rFonts w:hint="eastAsia" w:ascii="仿宋_GB2312" w:hAnsi="仿宋_GB2312" w:eastAsia="仿宋_GB2312" w:cs="仿宋_GB2312"/>
          <w:b/>
          <w:bCs/>
          <w:sz w:val="32"/>
          <w:szCs w:val="32"/>
          <w:highlight w:val="none"/>
        </w:rPr>
        <w:t>四是</w:t>
      </w:r>
      <w:r>
        <w:rPr>
          <w:rFonts w:hint="eastAsia" w:ascii="仿宋_GB2312" w:hAnsi="仿宋_GB2312" w:eastAsia="仿宋_GB2312" w:cs="仿宋_GB2312"/>
          <w:sz w:val="32"/>
          <w:szCs w:val="32"/>
          <w:highlight w:val="none"/>
        </w:rPr>
        <w:t>部门年度绩效指标完成情况，包括部门履职投入、履职过程、履职产出及履职效果等。</w:t>
      </w:r>
    </w:p>
    <w:bookmarkEnd w:id="16"/>
    <w:p w14:paraId="0BBF3C4D">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outlineLvl w:val="1"/>
        <w:rPr>
          <w:rFonts w:hint="eastAsia" w:ascii="楷体" w:hAnsi="楷体" w:eastAsia="楷体" w:cs="楷体"/>
          <w:b w:val="0"/>
          <w:bCs w:val="0"/>
          <w:sz w:val="32"/>
          <w:szCs w:val="32"/>
          <w:highlight w:val="none"/>
          <w:lang w:eastAsia="zh-CN"/>
        </w:rPr>
      </w:pPr>
      <w:bookmarkStart w:id="18" w:name="_Toc30020"/>
      <w:r>
        <w:rPr>
          <w:rFonts w:hint="eastAsia" w:ascii="楷体" w:hAnsi="楷体" w:eastAsia="楷体" w:cs="楷体"/>
          <w:b w:val="0"/>
          <w:bCs w:val="0"/>
          <w:sz w:val="32"/>
          <w:szCs w:val="32"/>
          <w:highlight w:val="none"/>
          <w:lang w:eastAsia="zh-CN"/>
        </w:rPr>
        <w:t>（</w:t>
      </w:r>
      <w:r>
        <w:rPr>
          <w:rFonts w:hint="eastAsia" w:ascii="楷体" w:hAnsi="楷体" w:eastAsia="楷体" w:cs="楷体"/>
          <w:b w:val="0"/>
          <w:bCs w:val="0"/>
          <w:sz w:val="32"/>
          <w:szCs w:val="32"/>
          <w:highlight w:val="none"/>
          <w:lang w:val="en-US" w:eastAsia="zh-CN"/>
        </w:rPr>
        <w:t>四</w:t>
      </w:r>
      <w:r>
        <w:rPr>
          <w:rFonts w:hint="eastAsia" w:ascii="楷体" w:hAnsi="楷体" w:eastAsia="楷体" w:cs="楷体"/>
          <w:b w:val="0"/>
          <w:bCs w:val="0"/>
          <w:sz w:val="32"/>
          <w:szCs w:val="32"/>
          <w:highlight w:val="none"/>
          <w:lang w:eastAsia="zh-CN"/>
        </w:rPr>
        <w:t>）自评的方法</w:t>
      </w:r>
      <w:bookmarkEnd w:id="18"/>
      <w:bookmarkStart w:id="19" w:name="_Toc25386"/>
    </w:p>
    <w:p w14:paraId="3B30BCA3">
      <w:pPr>
        <w:keepNext w:val="0"/>
        <w:keepLines w:val="0"/>
        <w:pageBreakBefore w:val="0"/>
        <w:widowControl w:val="0"/>
        <w:numPr>
          <w:ilvl w:val="0"/>
          <w:numId w:val="0"/>
        </w:numPr>
        <w:kinsoku/>
        <w:wordWrap/>
        <w:overflowPunct/>
        <w:topLinePunct w:val="0"/>
        <w:autoSpaceDE/>
        <w:autoSpaceDN/>
        <w:bidi w:val="0"/>
        <w:spacing w:line="578" w:lineRule="exact"/>
        <w:ind w:left="0" w:right="0" w:rightChars="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1</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科学公正原则</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此次绩效自评运用科学合理的方法，按照规范的程序，对我</w:t>
      </w:r>
      <w:r>
        <w:rPr>
          <w:rFonts w:hint="eastAsia" w:ascii="仿宋_GB2312" w:hAnsi="仿宋_GB2312" w:eastAsia="仿宋_GB2312" w:cs="仿宋_GB2312"/>
          <w:sz w:val="32"/>
          <w:szCs w:val="32"/>
          <w:highlight w:val="none"/>
          <w:lang w:eastAsia="zh-CN"/>
        </w:rPr>
        <w:t>委</w:t>
      </w:r>
      <w:r>
        <w:rPr>
          <w:rFonts w:hint="eastAsia" w:ascii="仿宋_GB2312" w:hAnsi="仿宋_GB2312" w:eastAsia="仿宋_GB2312" w:cs="仿宋_GB2312"/>
          <w:sz w:val="32"/>
          <w:szCs w:val="32"/>
          <w:highlight w:val="none"/>
        </w:rPr>
        <w:t>部门整体预算资金使用绩效进行客观、公正的反映。</w:t>
      </w:r>
    </w:p>
    <w:p w14:paraId="14DA5EE9">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2</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统筹兼顾原则</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单位自评、部门自评和财政自评应职责明确，各有侧重，相互衔接，绩效自评结果将上报财政部门作为财政自评参考依据。</w:t>
      </w:r>
    </w:p>
    <w:p w14:paraId="1B215FC9">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3</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激励约束原则</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此次绩效自评结果与预算安排、政策调整、改进管理实质性挂钩，体现奖优罚劣和激励相容导向，有效安排、低效压减、无效问责。</w:t>
      </w:r>
    </w:p>
    <w:p w14:paraId="316C0E13">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4</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公开透明原则</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此次绩效自评结果应依法依规在政府门户网站进行公开，并自觉接受社会监督。</w:t>
      </w:r>
    </w:p>
    <w:bookmarkEnd w:id="19"/>
    <w:p w14:paraId="5C3148D9">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outlineLvl w:val="1"/>
        <w:rPr>
          <w:rFonts w:hint="eastAsia" w:ascii="楷体" w:hAnsi="楷体" w:eastAsia="楷体" w:cs="楷体"/>
          <w:b w:val="0"/>
          <w:bCs w:val="0"/>
          <w:sz w:val="32"/>
          <w:szCs w:val="32"/>
          <w:highlight w:val="none"/>
          <w:lang w:val="en-US" w:eastAsia="zh-CN"/>
        </w:rPr>
      </w:pPr>
      <w:bookmarkStart w:id="20" w:name="_Toc14749"/>
      <w:bookmarkStart w:id="21" w:name="_Toc8765"/>
      <w:bookmarkStart w:id="22" w:name="_Toc1964"/>
      <w:r>
        <w:rPr>
          <w:rFonts w:hint="eastAsia" w:ascii="楷体" w:hAnsi="楷体" w:eastAsia="楷体" w:cs="楷体"/>
          <w:b w:val="0"/>
          <w:bCs w:val="0"/>
          <w:sz w:val="32"/>
          <w:szCs w:val="32"/>
          <w:highlight w:val="none"/>
          <w:lang w:eastAsia="zh-CN"/>
        </w:rPr>
        <w:t>（</w:t>
      </w:r>
      <w:r>
        <w:rPr>
          <w:rFonts w:hint="eastAsia" w:ascii="楷体" w:hAnsi="楷体" w:eastAsia="楷体" w:cs="楷体"/>
          <w:b w:val="0"/>
          <w:bCs w:val="0"/>
          <w:sz w:val="32"/>
          <w:szCs w:val="32"/>
          <w:highlight w:val="none"/>
          <w:lang w:val="en-US" w:eastAsia="zh-CN"/>
        </w:rPr>
        <w:t>五</w:t>
      </w:r>
      <w:r>
        <w:rPr>
          <w:rFonts w:hint="eastAsia" w:ascii="楷体" w:hAnsi="楷体" w:eastAsia="楷体" w:cs="楷体"/>
          <w:b w:val="0"/>
          <w:bCs w:val="0"/>
          <w:sz w:val="32"/>
          <w:szCs w:val="32"/>
          <w:highlight w:val="none"/>
          <w:lang w:eastAsia="zh-CN"/>
        </w:rPr>
        <w:t>）绩效自评</w:t>
      </w:r>
      <w:bookmarkEnd w:id="20"/>
      <w:bookmarkEnd w:id="21"/>
      <w:r>
        <w:rPr>
          <w:rFonts w:hint="eastAsia" w:ascii="楷体" w:hAnsi="楷体" w:eastAsia="楷体" w:cs="楷体"/>
          <w:b w:val="0"/>
          <w:bCs w:val="0"/>
          <w:sz w:val="32"/>
          <w:szCs w:val="32"/>
          <w:highlight w:val="none"/>
          <w:lang w:val="en-US" w:eastAsia="zh-CN"/>
        </w:rPr>
        <w:t>过程</w:t>
      </w:r>
      <w:bookmarkEnd w:id="22"/>
    </w:p>
    <w:p w14:paraId="42EF4DA2">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sz w:val="32"/>
          <w:szCs w:val="32"/>
          <w:highlight w:val="none"/>
        </w:rPr>
      </w:pPr>
      <w:r>
        <w:rPr>
          <w:rFonts w:hint="eastAsia" w:ascii="仿宋_GB2312" w:hAnsi="仿宋_GB2312" w:eastAsia="仿宋_GB2312" w:cs="仿宋_GB2312"/>
          <w:sz w:val="32"/>
          <w:szCs w:val="32"/>
          <w:highlight w:val="none"/>
        </w:rPr>
        <w:t>本次绩效自评将资金使用产出及效果与年初指标值相比较，完成相应指标值的</w:t>
      </w:r>
      <w:r>
        <w:rPr>
          <w:rFonts w:hint="eastAsia" w:ascii="仿宋_GB2312" w:hAnsi="仿宋_GB2312" w:eastAsia="仿宋_GB2312" w:cs="仿宋_GB2312"/>
          <w:sz w:val="32"/>
          <w:szCs w:val="32"/>
          <w:highlight w:val="none"/>
          <w:lang w:val="en-US" w:eastAsia="zh-CN"/>
        </w:rPr>
        <w:t>赋全部分值</w:t>
      </w:r>
      <w:r>
        <w:rPr>
          <w:rFonts w:hint="eastAsia" w:ascii="仿宋_GB2312" w:hAnsi="仿宋_GB2312" w:eastAsia="仿宋_GB2312" w:cs="仿宋_GB2312"/>
          <w:sz w:val="32"/>
          <w:szCs w:val="32"/>
          <w:highlight w:val="none"/>
        </w:rPr>
        <w:t>；对完成值</w:t>
      </w:r>
      <w:r>
        <w:rPr>
          <w:rFonts w:hint="eastAsia" w:ascii="仿宋_GB2312" w:hAnsi="仿宋_GB2312" w:eastAsia="仿宋_GB2312" w:cs="仿宋_GB2312"/>
          <w:sz w:val="32"/>
          <w:szCs w:val="32"/>
          <w:highlight w:val="none"/>
          <w:lang w:eastAsia="zh-CN"/>
        </w:rPr>
        <w:t>低</w:t>
      </w:r>
      <w:r>
        <w:rPr>
          <w:rFonts w:hint="eastAsia" w:ascii="仿宋_GB2312" w:hAnsi="仿宋_GB2312" w:eastAsia="仿宋_GB2312" w:cs="仿宋_GB2312"/>
          <w:sz w:val="32"/>
          <w:szCs w:val="32"/>
          <w:highlight w:val="none"/>
        </w:rPr>
        <w:t>于指标值较多的，分析其形成原因，针对评价过程中发现的问题进一步提出相关意见建议，为以后年度</w:t>
      </w:r>
      <w:r>
        <w:rPr>
          <w:rFonts w:hint="eastAsia" w:ascii="仿宋_GB2312" w:hAnsi="仿宋_GB2312" w:eastAsia="仿宋_GB2312" w:cs="仿宋_GB2312"/>
          <w:sz w:val="32"/>
          <w:szCs w:val="32"/>
          <w:highlight w:val="none"/>
          <w:lang w:eastAsia="zh-CN"/>
        </w:rPr>
        <w:t>我委</w:t>
      </w:r>
      <w:r>
        <w:rPr>
          <w:rFonts w:hint="eastAsia" w:ascii="仿宋_GB2312" w:hAnsi="仿宋_GB2312" w:eastAsia="仿宋_GB2312" w:cs="仿宋_GB2312"/>
          <w:sz w:val="32"/>
          <w:szCs w:val="32"/>
          <w:highlight w:val="none"/>
        </w:rPr>
        <w:t>履行部门职责作出更好的预算管理和资金安排。</w:t>
      </w:r>
    </w:p>
    <w:p w14:paraId="63CB711C">
      <w:pPr>
        <w:keepNext w:val="0"/>
        <w:keepLines w:val="0"/>
        <w:pageBreakBefore w:val="0"/>
        <w:widowControl w:val="0"/>
        <w:kinsoku/>
        <w:wordWrap/>
        <w:overflowPunct/>
        <w:topLinePunct w:val="0"/>
        <w:autoSpaceDE/>
        <w:autoSpaceDN/>
        <w:bidi w:val="0"/>
        <w:adjustRightInd/>
        <w:snapToGrid/>
        <w:spacing w:line="578" w:lineRule="exact"/>
        <w:ind w:left="0" w:leftChars="0" w:right="0" w:firstLine="640" w:firstLineChars="200"/>
        <w:textAlignment w:val="auto"/>
        <w:outlineLvl w:val="0"/>
        <w:rPr>
          <w:rFonts w:hint="eastAsia" w:ascii="黑体" w:hAnsi="黑体" w:eastAsia="黑体"/>
          <w:b/>
          <w:bCs/>
          <w:sz w:val="32"/>
          <w:szCs w:val="32"/>
          <w:highlight w:val="none"/>
          <w:lang w:eastAsia="zh-CN"/>
        </w:rPr>
      </w:pPr>
      <w:bookmarkStart w:id="23" w:name="_Toc30653"/>
      <w:r>
        <w:rPr>
          <w:rFonts w:hint="eastAsia" w:ascii="黑体" w:hAnsi="黑体" w:eastAsia="黑体"/>
          <w:sz w:val="32"/>
          <w:szCs w:val="32"/>
          <w:highlight w:val="none"/>
        </w:rPr>
        <w:t>三、</w:t>
      </w:r>
      <w:r>
        <w:rPr>
          <w:rFonts w:hint="eastAsia" w:ascii="黑体" w:hAnsi="黑体" w:eastAsia="黑体"/>
          <w:sz w:val="32"/>
          <w:szCs w:val="32"/>
          <w:highlight w:val="none"/>
          <w:lang w:eastAsia="zh-CN"/>
        </w:rPr>
        <w:t>部门整体支出</w:t>
      </w:r>
      <w:r>
        <w:rPr>
          <w:rFonts w:hint="eastAsia" w:ascii="黑体" w:hAnsi="黑体" w:eastAsia="黑体"/>
          <w:sz w:val="32"/>
          <w:szCs w:val="32"/>
          <w:highlight w:val="none"/>
        </w:rPr>
        <w:t>绩效</w:t>
      </w:r>
      <w:r>
        <w:rPr>
          <w:rFonts w:hint="eastAsia" w:ascii="黑体" w:hAnsi="黑体" w:eastAsia="黑体"/>
          <w:sz w:val="32"/>
          <w:szCs w:val="32"/>
          <w:highlight w:val="none"/>
          <w:lang w:eastAsia="zh-CN"/>
        </w:rPr>
        <w:t>目标实现情况及指标分析</w:t>
      </w:r>
      <w:bookmarkEnd w:id="23"/>
    </w:p>
    <w:p w14:paraId="35941552">
      <w:pPr>
        <w:keepNext w:val="0"/>
        <w:keepLines w:val="0"/>
        <w:pageBreakBefore w:val="0"/>
        <w:widowControl w:val="0"/>
        <w:numPr>
          <w:ilvl w:val="0"/>
          <w:numId w:val="2"/>
        </w:numPr>
        <w:kinsoku/>
        <w:wordWrap/>
        <w:overflowPunct/>
        <w:topLinePunct w:val="0"/>
        <w:autoSpaceDE/>
        <w:autoSpaceDN/>
        <w:bidi w:val="0"/>
        <w:spacing w:line="578" w:lineRule="exact"/>
        <w:ind w:left="0" w:leftChars="0" w:right="0" w:firstLine="640" w:firstLineChars="200"/>
        <w:textAlignment w:val="auto"/>
        <w:outlineLvl w:val="1"/>
        <w:rPr>
          <w:rFonts w:hint="eastAsia" w:ascii="楷体" w:hAnsi="楷体" w:eastAsia="楷体" w:cs="楷体"/>
          <w:b w:val="0"/>
          <w:bCs w:val="0"/>
          <w:sz w:val="32"/>
          <w:szCs w:val="32"/>
          <w:highlight w:val="none"/>
        </w:rPr>
      </w:pPr>
      <w:bookmarkStart w:id="24" w:name="_Toc865"/>
      <w:r>
        <w:rPr>
          <w:rFonts w:hint="eastAsia" w:ascii="楷体" w:hAnsi="楷体" w:eastAsia="楷体" w:cs="楷体"/>
          <w:b w:val="0"/>
          <w:bCs w:val="0"/>
          <w:sz w:val="32"/>
          <w:szCs w:val="32"/>
          <w:highlight w:val="none"/>
          <w:lang w:eastAsia="zh-CN"/>
        </w:rPr>
        <w:t>总体绩效目标实现情况</w:t>
      </w:r>
      <w:bookmarkEnd w:id="24"/>
    </w:p>
    <w:p w14:paraId="38F1E218">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 w:hAnsi="仿宋" w:eastAsia="仿宋"/>
          <w:sz w:val="32"/>
          <w:szCs w:val="32"/>
          <w:highlight w:val="yellow"/>
          <w:lang w:val="en-US" w:eastAsia="zh-CN"/>
        </w:rPr>
      </w:pPr>
      <w:r>
        <w:rPr>
          <w:rFonts w:hint="eastAsia" w:ascii="仿宋_GB2312" w:hAnsi="仿宋_GB2312" w:eastAsia="仿宋_GB2312" w:cs="仿宋_GB2312"/>
          <w:sz w:val="32"/>
          <w:szCs w:val="32"/>
          <w:highlight w:val="none"/>
          <w:lang w:val="en-US" w:eastAsia="zh-CN"/>
        </w:rPr>
        <w:t>我市</w:t>
      </w:r>
      <w:r>
        <w:rPr>
          <w:rFonts w:hint="default" w:ascii="仿宋_GB2312" w:hAnsi="仿宋_GB2312" w:eastAsia="仿宋_GB2312" w:cs="仿宋_GB2312"/>
          <w:sz w:val="32"/>
          <w:szCs w:val="32"/>
          <w:highlight w:val="none"/>
          <w:lang w:val="en-US" w:eastAsia="zh-CN"/>
        </w:rPr>
        <w:t>先后被确定为“国家中医药传承创新发展试验区”</w:t>
      </w:r>
      <w:r>
        <w:rPr>
          <w:rFonts w:hint="eastAsia" w:ascii="仿宋_GB2312" w:hAnsi="仿宋_GB2312" w:eastAsia="仿宋_GB2312" w:cs="仿宋_GB2312"/>
          <w:sz w:val="32"/>
          <w:szCs w:val="32"/>
          <w:highlight w:val="none"/>
          <w:lang w:val="en-US" w:eastAsia="zh-CN"/>
        </w:rPr>
        <w:t>、</w:t>
      </w:r>
      <w:r>
        <w:rPr>
          <w:rFonts w:hint="default" w:ascii="仿宋_GB2312" w:hAnsi="仿宋_GB2312" w:eastAsia="仿宋_GB2312" w:cs="仿宋_GB2312"/>
          <w:sz w:val="32"/>
          <w:szCs w:val="32"/>
          <w:highlight w:val="none"/>
          <w:lang w:val="en-US" w:eastAsia="zh-CN"/>
        </w:rPr>
        <w:t>“儿童青少年肥胖中医药干预试点地区”</w:t>
      </w:r>
      <w:r>
        <w:rPr>
          <w:rFonts w:hint="eastAsia" w:ascii="仿宋_GB2312" w:hAnsi="仿宋_GB2312" w:eastAsia="仿宋_GB2312" w:cs="仿宋_GB2312"/>
          <w:sz w:val="32"/>
          <w:szCs w:val="32"/>
          <w:highlight w:val="none"/>
          <w:lang w:val="en-US" w:eastAsia="zh-CN"/>
        </w:rPr>
        <w:t>、“医疗机构疾控监督员制度国家试点”、省电子预防接种证试点，</w:t>
      </w:r>
      <w:r>
        <w:rPr>
          <w:rFonts w:hint="default" w:ascii="仿宋_GB2312" w:hAnsi="仿宋_GB2312" w:eastAsia="仿宋_GB2312" w:cs="仿宋_GB2312"/>
          <w:sz w:val="32"/>
          <w:szCs w:val="32"/>
          <w:highlight w:val="none"/>
          <w:lang w:val="en-US" w:eastAsia="zh-CN"/>
        </w:rPr>
        <w:t>争取国家级地方计生协综合改革试点、向日葵亲子小屋、新市民健康行动等</w:t>
      </w:r>
      <w:r>
        <w:rPr>
          <w:rFonts w:hint="eastAsia" w:ascii="仿宋_GB2312" w:hAnsi="仿宋_GB2312" w:eastAsia="仿宋_GB2312" w:cs="仿宋_GB2312"/>
          <w:sz w:val="32"/>
          <w:szCs w:val="32"/>
          <w:highlight w:val="none"/>
          <w:lang w:val="en-US" w:eastAsia="zh-CN"/>
        </w:rPr>
        <w:t>计生协</w:t>
      </w:r>
      <w:r>
        <w:rPr>
          <w:rFonts w:hint="default" w:ascii="仿宋_GB2312" w:hAnsi="仿宋_GB2312" w:eastAsia="仿宋_GB2312" w:cs="仿宋_GB2312"/>
          <w:sz w:val="32"/>
          <w:szCs w:val="32"/>
          <w:highlight w:val="none"/>
          <w:lang w:val="en-US" w:eastAsia="zh-CN"/>
        </w:rPr>
        <w:t>国家试点7个、省级5个，</w:t>
      </w:r>
      <w:r>
        <w:rPr>
          <w:rFonts w:hint="eastAsia" w:ascii="仿宋_GB2312" w:hAnsi="仿宋_GB2312" w:eastAsia="仿宋_GB2312" w:cs="仿宋_GB2312"/>
          <w:sz w:val="32"/>
          <w:szCs w:val="32"/>
          <w:highlight w:val="none"/>
          <w:lang w:val="en-US" w:eastAsia="zh-CN"/>
        </w:rPr>
        <w:t>获评</w:t>
      </w:r>
      <w:r>
        <w:rPr>
          <w:rFonts w:hint="default" w:ascii="仿宋_GB2312" w:hAnsi="仿宋_GB2312" w:eastAsia="仿宋_GB2312" w:cs="仿宋_GB2312"/>
          <w:sz w:val="32"/>
          <w:szCs w:val="32"/>
          <w:highlight w:val="none"/>
          <w:lang w:val="en-US" w:eastAsia="zh-CN"/>
        </w:rPr>
        <w:t>京津冀医联体</w:t>
      </w:r>
      <w:r>
        <w:rPr>
          <w:rFonts w:hint="eastAsia" w:ascii="仿宋_GB2312" w:hAnsi="仿宋_GB2312" w:eastAsia="仿宋_GB2312" w:cs="仿宋_GB2312"/>
          <w:sz w:val="32"/>
          <w:szCs w:val="32"/>
          <w:highlight w:val="none"/>
          <w:lang w:val="en-US" w:eastAsia="zh-CN"/>
        </w:rPr>
        <w:t>5家、国家</w:t>
      </w:r>
      <w:r>
        <w:rPr>
          <w:rFonts w:hint="default" w:ascii="仿宋_GB2312" w:hAnsi="仿宋_GB2312" w:eastAsia="仿宋_GB2312" w:cs="仿宋_GB2312"/>
          <w:sz w:val="32"/>
          <w:szCs w:val="32"/>
          <w:highlight w:val="none"/>
          <w:lang w:val="en-US" w:eastAsia="zh-CN"/>
        </w:rPr>
        <w:t>环境健康风险评估适宜技术应用试点单位</w:t>
      </w:r>
      <w:r>
        <w:rPr>
          <w:rFonts w:hint="eastAsia" w:ascii="仿宋_GB2312" w:hAnsi="仿宋_GB2312" w:eastAsia="仿宋_GB2312" w:cs="仿宋_GB2312"/>
          <w:sz w:val="32"/>
          <w:szCs w:val="32"/>
          <w:highlight w:val="none"/>
          <w:lang w:val="en-US" w:eastAsia="zh-CN"/>
        </w:rPr>
        <w:t>1家、国家级健康促进医院优秀案例1个、国家级健康县区建设优秀案例1个、</w:t>
      </w:r>
      <w:r>
        <w:rPr>
          <w:rFonts w:hint="default" w:ascii="仿宋_GB2312" w:hAnsi="仿宋_GB2312" w:eastAsia="仿宋_GB2312" w:cs="仿宋_GB2312"/>
          <w:sz w:val="32"/>
          <w:szCs w:val="32"/>
          <w:highlight w:val="none"/>
          <w:lang w:val="en-US" w:eastAsia="zh-CN"/>
        </w:rPr>
        <w:t>全国老年医学人才培训项目省级培训基地</w:t>
      </w:r>
      <w:r>
        <w:rPr>
          <w:rFonts w:hint="eastAsia" w:ascii="仿宋_GB2312" w:hAnsi="仿宋_GB2312" w:eastAsia="仿宋_GB2312" w:cs="仿宋_GB2312"/>
          <w:sz w:val="32"/>
          <w:szCs w:val="32"/>
          <w:highlight w:val="none"/>
          <w:lang w:val="en-US" w:eastAsia="zh-CN"/>
        </w:rPr>
        <w:t>1个、</w:t>
      </w:r>
      <w:r>
        <w:rPr>
          <w:rFonts w:hint="default" w:ascii="仿宋_GB2312" w:hAnsi="仿宋_GB2312" w:eastAsia="仿宋_GB2312" w:cs="仿宋_GB2312"/>
          <w:sz w:val="32"/>
          <w:szCs w:val="32"/>
          <w:highlight w:val="none"/>
          <w:lang w:val="en-US" w:eastAsia="zh-CN"/>
        </w:rPr>
        <w:t>公立医院高质量发展省级试点医院</w:t>
      </w:r>
      <w:r>
        <w:rPr>
          <w:rFonts w:hint="eastAsia" w:ascii="仿宋_GB2312" w:hAnsi="仿宋_GB2312" w:eastAsia="仿宋_GB2312" w:cs="仿宋_GB2312"/>
          <w:sz w:val="32"/>
          <w:szCs w:val="32"/>
          <w:highlight w:val="none"/>
          <w:lang w:val="en-US" w:eastAsia="zh-CN"/>
        </w:rPr>
        <w:t>1家、县域医共体慢病管理能力提升省级试点1个、省标准化社区医养结合服务中心5家，22家基层医疗卫生机构被国家卫健委通报表扬，我市被省政府评为2023年度医改工作先进市，健康河北行动对我市领导班子和领导干部综合考核连续三年排名第一。</w:t>
      </w:r>
    </w:p>
    <w:p w14:paraId="062AA650">
      <w:pPr>
        <w:keepNext w:val="0"/>
        <w:keepLines w:val="0"/>
        <w:pageBreakBefore w:val="0"/>
        <w:widowControl w:val="0"/>
        <w:numPr>
          <w:ilvl w:val="0"/>
          <w:numId w:val="2"/>
        </w:numPr>
        <w:kinsoku/>
        <w:wordWrap/>
        <w:overflowPunct/>
        <w:topLinePunct w:val="0"/>
        <w:autoSpaceDE/>
        <w:autoSpaceDN/>
        <w:bidi w:val="0"/>
        <w:spacing w:line="578" w:lineRule="exact"/>
        <w:ind w:left="0" w:leftChars="0" w:right="0" w:firstLine="640" w:firstLineChars="200"/>
        <w:textAlignment w:val="auto"/>
        <w:outlineLvl w:val="1"/>
        <w:rPr>
          <w:rFonts w:hint="eastAsia" w:ascii="楷体" w:hAnsi="楷体" w:eastAsia="楷体" w:cs="楷体"/>
          <w:b w:val="0"/>
          <w:bCs w:val="0"/>
          <w:sz w:val="32"/>
          <w:szCs w:val="32"/>
          <w:highlight w:val="none"/>
          <w:lang w:eastAsia="zh-CN"/>
        </w:rPr>
      </w:pPr>
      <w:bookmarkStart w:id="25" w:name="_Toc6115"/>
      <w:r>
        <w:rPr>
          <w:rFonts w:hint="eastAsia" w:ascii="楷体" w:hAnsi="楷体" w:eastAsia="楷体" w:cs="楷体"/>
          <w:b w:val="0"/>
          <w:bCs w:val="0"/>
          <w:sz w:val="32"/>
          <w:szCs w:val="32"/>
          <w:highlight w:val="none"/>
          <w:lang w:eastAsia="zh-CN"/>
        </w:rPr>
        <w:t>分项绩效目标实现情况及指标分析</w:t>
      </w:r>
      <w:bookmarkEnd w:id="25"/>
    </w:p>
    <w:p w14:paraId="631C3A70">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_GB2312" w:hAnsi="仿宋_GB2312" w:eastAsia="仿宋_GB2312" w:cs="仿宋_GB2312"/>
          <w:b/>
          <w:bCs/>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1.持续推进优质医疗资源扩容和均衡布局</w:t>
      </w:r>
    </w:p>
    <w:p w14:paraId="4FAA2A13">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紧紧围绕公立医院“三个转变三个提高”，扎实推进中央财政支持公立医院改革与高质量发展项目，在医疗价格动态调整、基层日间病房试点、人事薪酬制度改革等方面，积极探索、创新突破，医务人员、住院患者和门诊患者满意度实现持续提升，在全国现场推进会上被7次点名表扬，位列第二批示范项目城市第一方阵，推动公立医院迈入高质量发展新阶段。截至目前，19项示范项目绩效指标圆满完成年度目标，公立医院书记、院长年薪制实现全覆盖，医改综合监测平台、分级诊疗系统和全员工分制”绩效管理系统已试点运行，中央资金执行率在同期示范城市中排名第一。</w:t>
      </w:r>
    </w:p>
    <w:p w14:paraId="65ED86F2">
      <w:pPr>
        <w:pageBreakBefore w:val="0"/>
        <w:numPr>
          <w:ilvl w:val="0"/>
          <w:numId w:val="0"/>
        </w:numPr>
        <w:kinsoku/>
        <w:wordWrap/>
        <w:overflowPunct/>
        <w:topLinePunct w:val="0"/>
        <w:autoSpaceDE/>
        <w:autoSpaceDN/>
        <w:bidi w:val="0"/>
        <w:spacing w:line="578" w:lineRule="exact"/>
        <w:ind w:firstLine="643" w:firstLineChars="200"/>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2.京津冀医疗卫生高水平合作项目成效显著</w:t>
      </w:r>
    </w:p>
    <w:p w14:paraId="080F52F0">
      <w:pPr>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坚持“医疗技术向京津靠拢、医疗服务与京津一致”目标，拓展深化京津冀医疗卫生合作内涵，延伸合作深度，强化人才培养、学科体系建设、科技创新与成果转化等方面交流合作，3所“石家庄医院”成效显著。管理方面，聘任了北京大学人民医院刘玉兰同志为市人民医院的院长，首都儿研所张军同志为市妇幼保健院副院长，天津中医一附院石家庄医院郭从荣同志为市中医院副院长，23名京津专家直接参与医院科室管理，修订完善了医院多学科会诊、医疗诊疗规范等多项规章制度，呼吸、胸外、消化、肾内、小儿外科、儿童保健科等10多个专业实现同质化管理。人才方面，出台了双人人员学习交流管理办法等制度，北大人民医院、首都儿研所、天津中医一附院累计派驻专家342余人，举办各类学术交流培训853场，接收我市进修骨干353人，已有近300人回院工作，成为医院的中坚力量。技术方面，在京津专家的手把手帮扶带教下，我们市级医院开展了100多项新技术、新项目，多项技术为国内、省内领先。今年以来，市人民医院三四级手术例数同比增长37%，平均住院日7.13天，同比降低1.11天；市六院儿外科门急诊量同比增长44%；市中医院以中医为主治疗的出院患者比例达52.6%，出院患者使用中医非药物疗法比例达96.61%，较去年上升15.44%。</w:t>
      </w:r>
    </w:p>
    <w:p w14:paraId="30B7737C">
      <w:pPr>
        <w:pageBreakBefore w:val="0"/>
        <w:numPr>
          <w:ilvl w:val="0"/>
          <w:numId w:val="0"/>
        </w:numPr>
        <w:kinsoku/>
        <w:wordWrap/>
        <w:overflowPunct/>
        <w:topLinePunct w:val="0"/>
        <w:autoSpaceDE/>
        <w:autoSpaceDN/>
        <w:bidi w:val="0"/>
        <w:spacing w:line="578" w:lineRule="exact"/>
        <w:ind w:firstLine="643" w:firstLineChars="200"/>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3.加快推动基层医疗卫生健康高质量发展</w:t>
      </w:r>
    </w:p>
    <w:p w14:paraId="0F7F39BD">
      <w:pPr>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全市242家基层医疗卫生机构达到</w:t>
      </w:r>
      <w:r>
        <w:rPr>
          <w:rFonts w:hint="eastAsia" w:ascii="仿宋_GB2312" w:hAnsi="仿宋_GB2312" w:eastAsia="仿宋_GB2312" w:cs="仿宋_GB2312"/>
          <w:b w:val="0"/>
          <w:bCs w:val="0"/>
          <w:color w:val="auto"/>
          <w:sz w:val="32"/>
          <w:szCs w:val="32"/>
          <w:highlight w:val="none"/>
          <w:lang w:val="en-US" w:eastAsia="zh-CN"/>
        </w:rPr>
        <w:t>基本</w:t>
      </w:r>
      <w:r>
        <w:rPr>
          <w:rFonts w:hint="default" w:ascii="仿宋_GB2312" w:hAnsi="仿宋_GB2312" w:eastAsia="仿宋_GB2312" w:cs="仿宋_GB2312"/>
          <w:b w:val="0"/>
          <w:bCs w:val="0"/>
          <w:color w:val="auto"/>
          <w:sz w:val="32"/>
          <w:szCs w:val="32"/>
          <w:highlight w:val="none"/>
          <w:lang w:val="en-US" w:eastAsia="zh-CN"/>
        </w:rPr>
        <w:t>标准，占比94.9%，58家机构达到推荐标准，选定10家乡镇卫生院创建医疗次中心，建成社区医院30家</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省级特色专科50个，总量位列全省第一。推动社区首席专家工作室拓展到112个，每周到社区出诊的省市医院专家达到210名，累计接诊28万人次，深受居民欢迎</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启动基本公共卫生服务系统、家庭医生签约服务信息系统建设，我市在全省2023年度基本公共卫生服务项目绩效评价</w:t>
      </w:r>
      <w:r>
        <w:rPr>
          <w:rFonts w:hint="eastAsia" w:ascii="仿宋_GB2312" w:hAnsi="仿宋_GB2312" w:eastAsia="仿宋_GB2312" w:cs="仿宋_GB2312"/>
          <w:b w:val="0"/>
          <w:bCs w:val="0"/>
          <w:color w:val="auto"/>
          <w:sz w:val="32"/>
          <w:szCs w:val="32"/>
          <w:highlight w:val="none"/>
          <w:lang w:val="en-US" w:eastAsia="zh-CN"/>
        </w:rPr>
        <w:t>中</w:t>
      </w:r>
      <w:r>
        <w:rPr>
          <w:rFonts w:hint="default" w:ascii="仿宋_GB2312" w:hAnsi="仿宋_GB2312" w:eastAsia="仿宋_GB2312" w:cs="仿宋_GB2312"/>
          <w:b w:val="0"/>
          <w:bCs w:val="0"/>
          <w:color w:val="auto"/>
          <w:sz w:val="32"/>
          <w:szCs w:val="32"/>
          <w:highlight w:val="none"/>
          <w:lang w:val="en-US" w:eastAsia="zh-CN"/>
        </w:rPr>
        <w:t>综合排名第一、优秀县（市、区）数量第一。</w:t>
      </w:r>
    </w:p>
    <w:p w14:paraId="2F002B7C">
      <w:pPr>
        <w:pageBreakBefore w:val="0"/>
        <w:numPr>
          <w:ilvl w:val="0"/>
          <w:numId w:val="0"/>
        </w:numPr>
        <w:kinsoku/>
        <w:wordWrap/>
        <w:overflowPunct/>
        <w:topLinePunct w:val="0"/>
        <w:autoSpaceDE/>
        <w:autoSpaceDN/>
        <w:bidi w:val="0"/>
        <w:spacing w:line="578" w:lineRule="exact"/>
        <w:ind w:firstLine="643" w:firstLineChars="200"/>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4.做好孕产妇、婴幼儿重点人群健康服务保障</w:t>
      </w:r>
    </w:p>
    <w:p w14:paraId="07525552">
      <w:pPr>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建设普惠托位875个，</w:t>
      </w:r>
      <w:r>
        <w:rPr>
          <w:rFonts w:hint="eastAsia" w:ascii="仿宋_GB2312" w:hAnsi="仿宋_GB2312" w:eastAsia="仿宋_GB2312" w:cs="仿宋_GB2312"/>
          <w:b w:val="0"/>
          <w:bCs w:val="0"/>
          <w:color w:val="auto"/>
          <w:sz w:val="32"/>
          <w:szCs w:val="32"/>
          <w:highlight w:val="none"/>
          <w:lang w:val="en-US" w:eastAsia="zh-CN"/>
        </w:rPr>
        <w:t>免费</w:t>
      </w:r>
      <w:r>
        <w:rPr>
          <w:rFonts w:hint="default" w:ascii="仿宋_GB2312" w:hAnsi="仿宋_GB2312" w:eastAsia="仿宋_GB2312" w:cs="仿宋_GB2312"/>
          <w:b w:val="0"/>
          <w:bCs w:val="0"/>
          <w:color w:val="auto"/>
          <w:sz w:val="32"/>
          <w:szCs w:val="32"/>
          <w:highlight w:val="none"/>
          <w:lang w:val="en-US" w:eastAsia="zh-CN"/>
        </w:rPr>
        <w:t>开展孕妇无创产前基因筛查56507例、孕妇耳聋基因筛查项目筛查54375例</w:t>
      </w:r>
      <w:r>
        <w:rPr>
          <w:rFonts w:hint="eastAsia" w:ascii="仿宋_GB2312" w:hAnsi="仿宋_GB2312" w:eastAsia="仿宋_GB2312" w:cs="仿宋_GB2312"/>
          <w:b w:val="0"/>
          <w:bCs w:val="0"/>
          <w:color w:val="auto"/>
          <w:sz w:val="32"/>
          <w:szCs w:val="32"/>
          <w:highlight w:val="none"/>
          <w:lang w:val="en-US" w:eastAsia="zh-CN"/>
        </w:rPr>
        <w:t>、</w:t>
      </w:r>
      <w:r>
        <w:rPr>
          <w:rFonts w:hint="default" w:ascii="仿宋_GB2312" w:hAnsi="仿宋_GB2312" w:eastAsia="仿宋_GB2312" w:cs="仿宋_GB2312"/>
          <w:b w:val="0"/>
          <w:bCs w:val="0"/>
          <w:color w:val="auto"/>
          <w:sz w:val="32"/>
          <w:szCs w:val="32"/>
          <w:highlight w:val="none"/>
          <w:lang w:val="en-US" w:eastAsia="zh-CN"/>
        </w:rPr>
        <w:t>宫颈癌免费筛查25.85万人、乳腺癌检查26.06万人，完成全市中小学生脊柱侧弯筛查163万余人，为44862名14周岁女孩免费接种HPV疫苗</w:t>
      </w:r>
      <w:r>
        <w:rPr>
          <w:rFonts w:hint="eastAsia" w:ascii="仿宋_GB2312" w:hAnsi="仿宋_GB2312" w:eastAsia="仿宋_GB2312" w:cs="仿宋_GB2312"/>
          <w:b w:val="0"/>
          <w:bCs w:val="0"/>
          <w:color w:val="auto"/>
          <w:sz w:val="32"/>
          <w:szCs w:val="32"/>
          <w:highlight w:val="none"/>
          <w:lang w:val="en-US" w:eastAsia="zh-CN"/>
        </w:rPr>
        <w:t>，人民群众的健康获得感满满。特别是在婴幼儿照护方面，我们</w:t>
      </w:r>
      <w:r>
        <w:rPr>
          <w:rFonts w:hint="default" w:ascii="仿宋_GB2312" w:hAnsi="仿宋_GB2312" w:eastAsia="仿宋_GB2312" w:cs="仿宋_GB2312"/>
          <w:b w:val="0"/>
          <w:bCs w:val="0"/>
          <w:color w:val="auto"/>
          <w:sz w:val="32"/>
          <w:szCs w:val="32"/>
          <w:highlight w:val="none"/>
          <w:lang w:val="en-US" w:eastAsia="zh-CN"/>
        </w:rPr>
        <w:t>建立了全市</w:t>
      </w:r>
      <w:r>
        <w:rPr>
          <w:rFonts w:hint="eastAsia" w:ascii="仿宋_GB2312" w:hAnsi="仿宋_GB2312" w:eastAsia="仿宋_GB2312" w:cs="仿宋_GB2312"/>
          <w:b w:val="0"/>
          <w:bCs w:val="0"/>
          <w:color w:val="auto"/>
          <w:sz w:val="32"/>
          <w:szCs w:val="32"/>
          <w:highlight w:val="none"/>
          <w:lang w:val="en-US" w:eastAsia="zh-CN"/>
        </w:rPr>
        <w:t>首家</w:t>
      </w:r>
      <w:r>
        <w:rPr>
          <w:rFonts w:hint="default" w:ascii="仿宋_GB2312" w:hAnsi="仿宋_GB2312" w:eastAsia="仿宋_GB2312" w:cs="仿宋_GB2312"/>
          <w:b w:val="0"/>
          <w:bCs w:val="0"/>
          <w:color w:val="auto"/>
          <w:sz w:val="32"/>
          <w:szCs w:val="32"/>
          <w:highlight w:val="none"/>
          <w:lang w:val="en-US" w:eastAsia="zh-CN"/>
        </w:rPr>
        <w:t>公办用人单位托育机构——市四院职工子女托育园，在全省率先出台</w:t>
      </w:r>
      <w:r>
        <w:rPr>
          <w:rFonts w:hint="eastAsia" w:ascii="仿宋_GB2312" w:hAnsi="仿宋_GB2312" w:eastAsia="仿宋_GB2312" w:cs="仿宋_GB2312"/>
          <w:b w:val="0"/>
          <w:bCs w:val="0"/>
          <w:color w:val="auto"/>
          <w:sz w:val="32"/>
          <w:szCs w:val="32"/>
          <w:highlight w:val="none"/>
          <w:lang w:val="en-US" w:eastAsia="zh-CN"/>
        </w:rPr>
        <w:t>了</w:t>
      </w:r>
      <w:r>
        <w:rPr>
          <w:rFonts w:hint="default" w:ascii="仿宋_GB2312" w:hAnsi="仿宋_GB2312" w:eastAsia="仿宋_GB2312" w:cs="仿宋_GB2312"/>
          <w:b w:val="0"/>
          <w:bCs w:val="0"/>
          <w:color w:val="auto"/>
          <w:sz w:val="32"/>
          <w:szCs w:val="32"/>
          <w:highlight w:val="none"/>
          <w:lang w:val="en-US" w:eastAsia="zh-CN"/>
        </w:rPr>
        <w:t>普惠性托育机构市级扶持补助办法，为14家机构发放运营补贴238.4万元，“真金白银”助力普惠托育服务发展。</w:t>
      </w:r>
    </w:p>
    <w:p w14:paraId="4163DEC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color w:val="auto"/>
          <w:sz w:val="32"/>
          <w:szCs w:val="32"/>
          <w:highlight w:val="none"/>
          <w:lang w:val="en-US" w:eastAsia="zh-CN"/>
        </w:rPr>
      </w:pPr>
      <w:r>
        <w:rPr>
          <w:rFonts w:hint="eastAsia" w:ascii="仿宋_GB2312" w:hAnsi="仿宋_GB2312" w:eastAsia="仿宋_GB2312" w:cs="仿宋_GB2312"/>
          <w:b/>
          <w:bCs w:val="0"/>
          <w:color w:val="auto"/>
          <w:sz w:val="32"/>
          <w:szCs w:val="32"/>
          <w:highlight w:val="none"/>
          <w:lang w:val="en-US" w:eastAsia="zh-CN"/>
        </w:rPr>
        <w:t>5.持续提升公共卫生服务能力</w:t>
      </w:r>
    </w:p>
    <w:p w14:paraId="481B2D42">
      <w:pPr>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highlight w:val="none"/>
          <w:lang w:val="en-US" w:eastAsia="zh-CN"/>
        </w:rPr>
      </w:pPr>
      <w:bookmarkStart w:id="26" w:name="_Hlk41493160"/>
      <w:bookmarkStart w:id="27" w:name="_Toc42610961"/>
      <w:r>
        <w:rPr>
          <w:rFonts w:hint="eastAsia" w:ascii="仿宋_GB2312" w:hAnsi="仿宋_GB2312" w:eastAsia="仿宋_GB2312" w:cs="仿宋_GB2312"/>
          <w:b w:val="0"/>
          <w:bCs w:val="0"/>
          <w:color w:val="auto"/>
          <w:sz w:val="32"/>
          <w:szCs w:val="32"/>
          <w:highlight w:val="none"/>
          <w:lang w:val="en-US" w:eastAsia="zh-CN"/>
        </w:rPr>
        <w:t>高质量完成《石家庄市医疗卫生设施规划建设管理条例》修订。北京大学人民医院石家庄医院项目取得施工许可证，市二院新院区、市三院新院区和天津中医药大学第一附属医院石家庄医院项目完成初设批复，市五院应急院区项目综合楼实现主体封顶，市四院市级托育综合服务中心建设项目完成立项。</w:t>
      </w:r>
    </w:p>
    <w:p w14:paraId="1E92F8C9">
      <w:pPr>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在群众看病就医“减负增效”方面，我们大力推进检查检验结果互认共享，全市74家医疗机构纳入京津冀鲁检验结果互认名单，32家医疗机构纳入京津冀医学影像检查结果互认名单，建设市县两级公立医院医学影像及检验检查结果互认共享服务平台，有效避免了重复检查，减轻患者负担。</w:t>
      </w:r>
    </w:p>
    <w:p w14:paraId="33D0BAC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val="0"/>
          <w:color w:val="auto"/>
          <w:sz w:val="32"/>
          <w:szCs w:val="32"/>
          <w:highlight w:val="none"/>
          <w:lang w:val="en-US" w:eastAsia="zh-CN"/>
        </w:rPr>
      </w:pPr>
      <w:r>
        <w:rPr>
          <w:rFonts w:hint="eastAsia" w:ascii="仿宋_GB2312" w:hAnsi="仿宋_GB2312" w:eastAsia="仿宋_GB2312" w:cs="仿宋_GB2312"/>
          <w:b/>
          <w:bCs w:val="0"/>
          <w:color w:val="auto"/>
          <w:sz w:val="32"/>
          <w:szCs w:val="32"/>
          <w:highlight w:val="none"/>
          <w:lang w:val="en-US" w:eastAsia="zh-CN"/>
        </w:rPr>
        <w:t>6.</w:t>
      </w:r>
      <w:r>
        <w:rPr>
          <w:rFonts w:hint="default" w:ascii="仿宋_GB2312" w:hAnsi="仿宋_GB2312" w:eastAsia="仿宋_GB2312" w:cs="仿宋_GB2312"/>
          <w:b/>
          <w:bCs w:val="0"/>
          <w:color w:val="auto"/>
          <w:sz w:val="32"/>
          <w:szCs w:val="32"/>
          <w:highlight w:val="none"/>
          <w:lang w:val="en-US" w:eastAsia="zh-CN"/>
        </w:rPr>
        <w:t>持续深化健康石家庄建设</w:t>
      </w:r>
    </w:p>
    <w:bookmarkEnd w:id="26"/>
    <w:bookmarkEnd w:id="27"/>
    <w:p w14:paraId="761ACF08">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outlineLvl w:val="9"/>
        <w:rPr>
          <w:rFonts w:hint="eastAsia" w:ascii="黑体" w:hAnsi="黑体" w:eastAsia="黑体"/>
          <w:sz w:val="32"/>
          <w:szCs w:val="32"/>
          <w:highlight w:val="none"/>
        </w:rPr>
      </w:pPr>
      <w:bookmarkStart w:id="28" w:name="_Toc70582276"/>
      <w:r>
        <w:rPr>
          <w:rFonts w:hint="default" w:ascii="仿宋_GB2312" w:hAnsi="仿宋_GB2312" w:eastAsia="仿宋_GB2312" w:cs="仿宋_GB2312"/>
          <w:b w:val="0"/>
          <w:bCs w:val="0"/>
          <w:color w:val="auto"/>
          <w:sz w:val="32"/>
          <w:szCs w:val="32"/>
          <w:highlight w:val="none"/>
          <w:lang w:val="en-US" w:eastAsia="zh-CN"/>
        </w:rPr>
        <w:t>建立</w:t>
      </w:r>
      <w:r>
        <w:rPr>
          <w:rFonts w:hint="eastAsia" w:ascii="仿宋_GB2312" w:hAnsi="仿宋_GB2312" w:eastAsia="仿宋_GB2312" w:cs="仿宋_GB2312"/>
          <w:b w:val="0"/>
          <w:bCs w:val="0"/>
          <w:color w:val="auto"/>
          <w:sz w:val="32"/>
          <w:szCs w:val="32"/>
          <w:highlight w:val="none"/>
          <w:lang w:val="en-US" w:eastAsia="zh-CN"/>
        </w:rPr>
        <w:t>了</w:t>
      </w:r>
      <w:r>
        <w:rPr>
          <w:rFonts w:hint="default" w:ascii="仿宋_GB2312" w:hAnsi="仿宋_GB2312" w:eastAsia="仿宋_GB2312" w:cs="仿宋_GB2312"/>
          <w:b w:val="0"/>
          <w:bCs w:val="0"/>
          <w:color w:val="auto"/>
          <w:sz w:val="32"/>
          <w:szCs w:val="32"/>
          <w:highlight w:val="none"/>
          <w:lang w:val="en-US" w:eastAsia="zh-CN"/>
        </w:rPr>
        <w:t>定期调度、现场督导、问题反馈、经验交流、考察学习、观摩拉练、季度通报“七大长效机制”，搭建</w:t>
      </w:r>
      <w:r>
        <w:rPr>
          <w:rFonts w:hint="eastAsia" w:ascii="仿宋_GB2312" w:hAnsi="仿宋_GB2312" w:eastAsia="仿宋_GB2312" w:cs="仿宋_GB2312"/>
          <w:b w:val="0"/>
          <w:bCs w:val="0"/>
          <w:color w:val="auto"/>
          <w:sz w:val="32"/>
          <w:szCs w:val="32"/>
          <w:highlight w:val="none"/>
          <w:lang w:val="en-US" w:eastAsia="zh-CN"/>
        </w:rPr>
        <w:t>了</w:t>
      </w:r>
      <w:r>
        <w:rPr>
          <w:rFonts w:hint="default" w:ascii="仿宋_GB2312" w:hAnsi="仿宋_GB2312" w:eastAsia="仿宋_GB2312" w:cs="仿宋_GB2312"/>
          <w:b w:val="0"/>
          <w:bCs w:val="0"/>
          <w:color w:val="auto"/>
          <w:sz w:val="32"/>
          <w:szCs w:val="32"/>
          <w:highlight w:val="none"/>
          <w:lang w:val="en-US" w:eastAsia="zh-CN"/>
        </w:rPr>
        <w:t>医共体信息平台，让县医院“牵手”乡镇卫生院，实现“乡级检查，县级诊断”，变“病人跑”为“专家跑”，让老百姓在家门口就能享受县级医院的医疗服务。</w:t>
      </w:r>
      <w:r>
        <w:rPr>
          <w:rFonts w:hint="eastAsia" w:ascii="仿宋_GB2312" w:hAnsi="仿宋_GB2312" w:eastAsia="仿宋_GB2312" w:cs="仿宋_GB2312"/>
          <w:b w:val="0"/>
          <w:bCs w:val="0"/>
          <w:color w:val="auto"/>
          <w:sz w:val="32"/>
          <w:szCs w:val="32"/>
          <w:highlight w:val="none"/>
          <w:lang w:val="en-US" w:eastAsia="zh-CN"/>
        </w:rPr>
        <w:t>2024年</w:t>
      </w:r>
      <w:r>
        <w:rPr>
          <w:rFonts w:hint="default" w:ascii="仿宋_GB2312" w:hAnsi="仿宋_GB2312" w:eastAsia="仿宋_GB2312" w:cs="仿宋_GB2312"/>
          <w:b w:val="0"/>
          <w:bCs w:val="0"/>
          <w:color w:val="auto"/>
          <w:sz w:val="32"/>
          <w:szCs w:val="32"/>
          <w:highlight w:val="none"/>
          <w:lang w:val="en-US" w:eastAsia="zh-CN"/>
        </w:rPr>
        <w:t>，医共体牵头医院协助基层完成远程心电诊断8.3万例、影像诊断6万例，节省患者就医费用131.7万元。大力推进“县管乡用、乡聘村用”，县级医疗机构向乡镇卫生院派驻人员3.8万人次，帮助基层开展新技术、新项目536项，有效解决了乡镇卫生院技术力量薄弱等问题。创新慢病管理模式，16个县（市、区）全部建立县域慢病管理中心，打造区域慢病健康管理信息系统，形成以健康为中心的区域医疗服务体系。</w:t>
      </w:r>
    </w:p>
    <w:p w14:paraId="69FB8EF0">
      <w:pPr>
        <w:keepNext w:val="0"/>
        <w:keepLines w:val="0"/>
        <w:pageBreakBefore w:val="0"/>
        <w:widowControl w:val="0"/>
        <w:kinsoku/>
        <w:wordWrap/>
        <w:overflowPunct/>
        <w:topLinePunct w:val="0"/>
        <w:autoSpaceDE/>
        <w:autoSpaceDN/>
        <w:bidi w:val="0"/>
        <w:adjustRightInd w:val="0"/>
        <w:snapToGrid w:val="0"/>
        <w:spacing w:line="578" w:lineRule="exact"/>
        <w:ind w:left="0" w:firstLine="640" w:firstLineChars="200"/>
        <w:textAlignment w:val="auto"/>
        <w:outlineLvl w:val="0"/>
        <w:rPr>
          <w:rFonts w:ascii="黑体" w:hAnsi="黑体" w:eastAsia="黑体"/>
          <w:sz w:val="32"/>
          <w:szCs w:val="32"/>
          <w:highlight w:val="none"/>
        </w:rPr>
      </w:pPr>
      <w:bookmarkStart w:id="29" w:name="_Toc4931"/>
      <w:r>
        <w:rPr>
          <w:rFonts w:hint="eastAsia" w:ascii="黑体" w:hAnsi="黑体" w:eastAsia="黑体"/>
          <w:sz w:val="32"/>
          <w:szCs w:val="32"/>
          <w:highlight w:val="none"/>
        </w:rPr>
        <w:t>四、评价结论和评价等级</w:t>
      </w:r>
      <w:bookmarkEnd w:id="29"/>
    </w:p>
    <w:p w14:paraId="495D0E9E">
      <w:pPr>
        <w:keepNext w:val="0"/>
        <w:keepLines w:val="0"/>
        <w:pageBreakBefore w:val="0"/>
        <w:widowControl w:val="0"/>
        <w:kinsoku/>
        <w:wordWrap/>
        <w:overflowPunct/>
        <w:topLinePunct w:val="0"/>
        <w:autoSpaceDE/>
        <w:autoSpaceDN/>
        <w:bidi w:val="0"/>
        <w:adjustRightInd/>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yellow"/>
        </w:rPr>
      </w:pPr>
      <w:r>
        <w:rPr>
          <w:rFonts w:hint="eastAsia" w:ascii="仿宋_GB2312" w:hAnsi="仿宋_GB2312" w:eastAsia="仿宋_GB2312" w:cs="仿宋_GB2312"/>
          <w:sz w:val="32"/>
          <w:szCs w:val="32"/>
          <w:highlight w:val="none"/>
        </w:rPr>
        <w:t>根据</w:t>
      </w:r>
      <w:r>
        <w:rPr>
          <w:rFonts w:hint="eastAsia" w:ascii="仿宋_GB2312" w:hAnsi="仿宋_GB2312" w:eastAsia="仿宋_GB2312" w:cs="仿宋_GB2312"/>
          <w:sz w:val="32"/>
          <w:szCs w:val="32"/>
          <w:highlight w:val="none"/>
          <w:lang w:eastAsia="zh-CN"/>
        </w:rPr>
        <w:t>部门职责定位和各项工作履职情况进行综合评价</w:t>
      </w:r>
      <w:r>
        <w:rPr>
          <w:rFonts w:hint="eastAsia" w:ascii="仿宋_GB2312" w:hAnsi="仿宋_GB2312" w:eastAsia="仿宋_GB2312" w:cs="仿宋_GB2312"/>
          <w:sz w:val="32"/>
          <w:szCs w:val="32"/>
          <w:highlight w:val="none"/>
        </w:rPr>
        <w:t>，给出总得分，满分100分，得出综合绩效评价等级。</w:t>
      </w:r>
      <w:r>
        <w:rPr>
          <w:rFonts w:hint="eastAsia" w:ascii="仿宋_GB2312" w:hAnsi="仿宋_GB2312" w:eastAsia="仿宋_GB2312" w:cs="仿宋_GB2312"/>
          <w:sz w:val="32"/>
          <w:szCs w:val="32"/>
          <w:highlight w:val="none"/>
          <w:lang w:eastAsia="zh-CN"/>
        </w:rPr>
        <w:t>部门整体支出</w:t>
      </w:r>
      <w:r>
        <w:rPr>
          <w:rFonts w:hint="eastAsia" w:ascii="仿宋_GB2312" w:hAnsi="仿宋_GB2312" w:eastAsia="仿宋_GB2312" w:cs="仿宋_GB2312"/>
          <w:sz w:val="32"/>
          <w:szCs w:val="32"/>
          <w:highlight w:val="none"/>
        </w:rPr>
        <w:t>综合绩效评价分为4个等级：得分≥85分为优秀；75≤得分＜85分为良好；60≤得分＜75分为一般；得分＜60分为较差。</w:t>
      </w:r>
    </w:p>
    <w:p w14:paraId="6186416E">
      <w:pPr>
        <w:keepNext w:val="0"/>
        <w:keepLines w:val="0"/>
        <w:pageBreakBefore w:val="0"/>
        <w:widowControl w:val="0"/>
        <w:kinsoku/>
        <w:wordWrap/>
        <w:overflowPunct/>
        <w:topLinePunct w:val="0"/>
        <w:autoSpaceDE/>
        <w:autoSpaceDN/>
        <w:bidi w:val="0"/>
        <w:adjustRightInd/>
        <w:snapToGrid w:val="0"/>
        <w:spacing w:line="578" w:lineRule="exact"/>
        <w:ind w:left="0"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2024年在市委、市政府的正确领导和大力支持下，我部门坚持以习近平新时代中国特色社会主义思想为指导，深入学习领会习近平总书记视察河北、视察石家庄重要讲话和重要指示精神，全面贯彻党的二十届三中全会精神，抢抓机遇、乘势而上，奋发进取、务实笃行，全力推动卫生健康事业高质量发展再上新台阶，为加快建设现代化、国际化美丽省会城市提供更加坚实的健康保障。</w:t>
      </w:r>
    </w:p>
    <w:p w14:paraId="21190521">
      <w:pPr>
        <w:keepNext w:val="0"/>
        <w:keepLines w:val="0"/>
        <w:pageBreakBefore w:val="0"/>
        <w:widowControl w:val="0"/>
        <w:kinsoku/>
        <w:wordWrap/>
        <w:overflowPunct/>
        <w:topLinePunct w:val="0"/>
        <w:autoSpaceDE/>
        <w:autoSpaceDN/>
        <w:bidi w:val="0"/>
        <w:adjustRightInd/>
        <w:snapToGrid w:val="0"/>
        <w:spacing w:line="578" w:lineRule="exact"/>
        <w:ind w:left="0" w:firstLine="640" w:firstLineChars="200"/>
        <w:textAlignment w:val="auto"/>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我部门2024年度部门整体绩效自评平均得分</w:t>
      </w:r>
      <w:r>
        <w:rPr>
          <w:rFonts w:hint="eastAsia" w:ascii="仿宋_GB2312" w:hAnsi="仿宋_GB2312" w:eastAsia="仿宋_GB2312" w:cs="仿宋_GB2312"/>
          <w:sz w:val="32"/>
          <w:szCs w:val="32"/>
          <w:highlight w:val="none"/>
          <w:lang w:val="en-US" w:eastAsia="zh-CN"/>
        </w:rPr>
        <w:t>88.92</w:t>
      </w:r>
      <w:r>
        <w:rPr>
          <w:rFonts w:hint="eastAsia" w:ascii="仿宋_GB2312" w:hAnsi="仿宋_GB2312" w:eastAsia="仿宋_GB2312" w:cs="仿宋_GB2312"/>
          <w:b w:val="0"/>
          <w:bCs w:val="0"/>
          <w:kern w:val="2"/>
          <w:sz w:val="32"/>
          <w:szCs w:val="32"/>
          <w:highlight w:val="none"/>
          <w:lang w:val="en-US" w:eastAsia="zh-CN" w:bidi="ar-SA"/>
        </w:rPr>
        <w:t>分，评价等级为“优”。</w:t>
      </w:r>
      <w:bookmarkStart w:id="38" w:name="_GoBack"/>
      <w:bookmarkEnd w:id="38"/>
    </w:p>
    <w:p w14:paraId="46EF45A6">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0"/>
        <w:rPr>
          <w:rFonts w:hint="eastAsia" w:ascii="黑体" w:hAnsi="黑体" w:eastAsia="黑体" w:cs="黑体"/>
          <w:sz w:val="32"/>
          <w:szCs w:val="32"/>
          <w:highlight w:val="none"/>
          <w:lang w:val="en-US" w:eastAsia="zh-CN"/>
        </w:rPr>
      </w:pPr>
      <w:bookmarkStart w:id="30" w:name="_Toc6369"/>
      <w:r>
        <w:rPr>
          <w:rFonts w:hint="eastAsia" w:ascii="黑体" w:hAnsi="黑体" w:eastAsia="黑体" w:cs="黑体"/>
          <w:sz w:val="32"/>
          <w:szCs w:val="32"/>
          <w:highlight w:val="none"/>
          <w:lang w:val="en-US" w:eastAsia="zh-CN"/>
        </w:rPr>
        <w:t>五、存在的问题及改进措施</w:t>
      </w:r>
      <w:bookmarkEnd w:id="30"/>
    </w:p>
    <w:p w14:paraId="1BB32416">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1"/>
        <w:rPr>
          <w:rFonts w:hint="eastAsia" w:ascii="楷体" w:hAnsi="楷体" w:eastAsia="楷体" w:cs="楷体"/>
          <w:b w:val="0"/>
          <w:bCs w:val="0"/>
          <w:sz w:val="32"/>
          <w:szCs w:val="32"/>
          <w:highlight w:val="none"/>
          <w:lang w:val="en-US" w:eastAsia="zh-CN"/>
        </w:rPr>
      </w:pPr>
      <w:bookmarkStart w:id="31" w:name="_Toc31099"/>
      <w:r>
        <w:rPr>
          <w:rFonts w:hint="eastAsia" w:ascii="楷体" w:hAnsi="楷体" w:eastAsia="楷体" w:cs="楷体"/>
          <w:b w:val="0"/>
          <w:bCs w:val="0"/>
          <w:sz w:val="32"/>
          <w:szCs w:val="32"/>
          <w:highlight w:val="none"/>
        </w:rPr>
        <w:t>（</w:t>
      </w:r>
      <w:r>
        <w:rPr>
          <w:rFonts w:hint="eastAsia" w:ascii="楷体" w:hAnsi="楷体" w:eastAsia="楷体" w:cs="楷体"/>
          <w:b w:val="0"/>
          <w:bCs w:val="0"/>
          <w:sz w:val="32"/>
          <w:szCs w:val="32"/>
          <w:highlight w:val="none"/>
          <w:lang w:val="en-US" w:eastAsia="zh-CN"/>
        </w:rPr>
        <w:t>一</w:t>
      </w:r>
      <w:r>
        <w:rPr>
          <w:rFonts w:hint="eastAsia" w:ascii="楷体" w:hAnsi="楷体" w:eastAsia="楷体" w:cs="楷体"/>
          <w:b w:val="0"/>
          <w:bCs w:val="0"/>
          <w:sz w:val="32"/>
          <w:szCs w:val="32"/>
          <w:highlight w:val="none"/>
        </w:rPr>
        <w:t>）</w:t>
      </w:r>
      <w:r>
        <w:rPr>
          <w:rFonts w:hint="eastAsia" w:ascii="楷体" w:hAnsi="楷体" w:eastAsia="楷体" w:cs="楷体"/>
          <w:b w:val="0"/>
          <w:bCs w:val="0"/>
          <w:sz w:val="32"/>
          <w:szCs w:val="32"/>
          <w:highlight w:val="none"/>
          <w:lang w:val="en-US" w:eastAsia="zh-CN"/>
        </w:rPr>
        <w:t>存在的问题</w:t>
      </w:r>
      <w:bookmarkEnd w:id="31"/>
    </w:p>
    <w:p w14:paraId="131831C1">
      <w:pPr>
        <w:pStyle w:val="5"/>
        <w:keepNext w:val="0"/>
        <w:keepLines w:val="0"/>
        <w:pageBreakBefore w:val="0"/>
        <w:widowControl w:val="0"/>
        <w:kinsoku/>
        <w:wordWrap/>
        <w:overflowPunct/>
        <w:topLinePunct w:val="0"/>
        <w:autoSpaceDE/>
        <w:autoSpaceDN/>
        <w:bidi w:val="0"/>
        <w:spacing w:line="578" w:lineRule="exact"/>
        <w:ind w:left="0" w:firstLine="643"/>
        <w:textAlignment w:val="auto"/>
        <w:outlineLvl w:val="2"/>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highlight w:val="none"/>
        </w:rPr>
        <w:t>1.个别项目目标和指标设置简化</w:t>
      </w:r>
      <w:bookmarkEnd w:id="28"/>
    </w:p>
    <w:p w14:paraId="640D455C">
      <w:pPr>
        <w:pStyle w:val="5"/>
        <w:keepNext w:val="0"/>
        <w:keepLines w:val="0"/>
        <w:pageBreakBefore w:val="0"/>
        <w:widowControl w:val="0"/>
        <w:kinsoku/>
        <w:wordWrap/>
        <w:overflowPunct/>
        <w:topLinePunct w:val="0"/>
        <w:autoSpaceDE/>
        <w:autoSpaceDN/>
        <w:bidi w:val="0"/>
        <w:spacing w:line="578" w:lineRule="exact"/>
        <w:ind w:left="0" w:firstLine="64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lang w:val="en-US" w:eastAsia="zh-CN"/>
        </w:rPr>
        <w:t>个别</w:t>
      </w:r>
      <w:r>
        <w:rPr>
          <w:rFonts w:hint="eastAsia" w:ascii="仿宋_GB2312" w:hAnsi="仿宋_GB2312" w:eastAsia="仿宋_GB2312" w:cs="仿宋_GB2312"/>
          <w:bCs/>
          <w:sz w:val="32"/>
          <w:szCs w:val="32"/>
          <w:highlight w:val="none"/>
        </w:rPr>
        <w:t>绩效目标不够完善，不能完整清晰体现工作活动的产出和效果，依据绩效目标所设置的绩效指标不够细化，不能完整清晰的反映活动目标完成情况。</w:t>
      </w:r>
    </w:p>
    <w:p w14:paraId="31FAF92C">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1"/>
        <w:rPr>
          <w:rFonts w:hint="eastAsia" w:ascii="楷体" w:hAnsi="楷体" w:eastAsia="楷体" w:cs="楷体"/>
          <w:b w:val="0"/>
          <w:bCs w:val="0"/>
          <w:sz w:val="32"/>
          <w:szCs w:val="32"/>
          <w:highlight w:val="none"/>
        </w:rPr>
      </w:pPr>
      <w:bookmarkStart w:id="32" w:name="_Toc14653"/>
      <w:r>
        <w:rPr>
          <w:rFonts w:hint="eastAsia" w:ascii="楷体" w:hAnsi="楷体" w:eastAsia="楷体" w:cs="楷体"/>
          <w:b w:val="0"/>
          <w:bCs w:val="0"/>
          <w:sz w:val="32"/>
          <w:szCs w:val="32"/>
          <w:highlight w:val="none"/>
        </w:rPr>
        <w:t>（二）针对问题提出具体的改进措施或建议</w:t>
      </w:r>
      <w:bookmarkEnd w:id="32"/>
    </w:p>
    <w:p w14:paraId="3A72BAF7">
      <w:pPr>
        <w:pStyle w:val="5"/>
        <w:keepNext w:val="0"/>
        <w:keepLines w:val="0"/>
        <w:pageBreakBefore w:val="0"/>
        <w:widowControl w:val="0"/>
        <w:kinsoku/>
        <w:wordWrap/>
        <w:overflowPunct/>
        <w:topLinePunct w:val="0"/>
        <w:autoSpaceDE/>
        <w:autoSpaceDN/>
        <w:bidi w:val="0"/>
        <w:spacing w:line="578" w:lineRule="exact"/>
        <w:ind w:left="0" w:firstLine="643"/>
        <w:textAlignment w:val="auto"/>
        <w:outlineLvl w:val="2"/>
        <w:rPr>
          <w:rFonts w:hint="eastAsia" w:ascii="仿宋_GB2312" w:hAnsi="仿宋_GB2312" w:eastAsia="仿宋_GB2312" w:cs="仿宋_GB2312"/>
          <w:b/>
          <w:bCs/>
          <w:sz w:val="32"/>
          <w:szCs w:val="32"/>
          <w:highlight w:val="none"/>
        </w:rPr>
      </w:pPr>
      <w:bookmarkStart w:id="33" w:name="_Toc70582283"/>
      <w:r>
        <w:rPr>
          <w:rFonts w:hint="eastAsia" w:ascii="仿宋_GB2312" w:hAnsi="仿宋_GB2312" w:eastAsia="仿宋_GB2312" w:cs="仿宋_GB2312"/>
          <w:b/>
          <w:bCs/>
          <w:sz w:val="32"/>
          <w:szCs w:val="32"/>
          <w:highlight w:val="none"/>
        </w:rPr>
        <w:t>1.科学设定绩效目标和指标</w:t>
      </w:r>
      <w:bookmarkEnd w:id="33"/>
    </w:p>
    <w:p w14:paraId="78F4DAAB">
      <w:pPr>
        <w:pStyle w:val="5"/>
        <w:keepNext w:val="0"/>
        <w:keepLines w:val="0"/>
        <w:pageBreakBefore w:val="0"/>
        <w:widowControl w:val="0"/>
        <w:kinsoku/>
        <w:wordWrap/>
        <w:overflowPunct/>
        <w:topLinePunct w:val="0"/>
        <w:autoSpaceDE/>
        <w:autoSpaceDN/>
        <w:bidi w:val="0"/>
        <w:spacing w:line="578" w:lineRule="exact"/>
        <w:ind w:left="0" w:firstLine="640"/>
        <w:textAlignment w:val="auto"/>
        <w:rPr>
          <w:rFonts w:hint="eastAsia" w:ascii="仿宋_GB2312" w:hAnsi="仿宋_GB2312" w:eastAsia="仿宋_GB2312" w:cs="仿宋_GB2312"/>
          <w:bCs/>
          <w:sz w:val="32"/>
          <w:szCs w:val="32"/>
          <w:highlight w:val="none"/>
        </w:rPr>
      </w:pPr>
      <w:r>
        <w:rPr>
          <w:rFonts w:hint="eastAsia" w:ascii="仿宋_GB2312" w:hAnsi="仿宋_GB2312" w:eastAsia="仿宋_GB2312" w:cs="仿宋_GB2312"/>
          <w:bCs/>
          <w:sz w:val="32"/>
          <w:szCs w:val="32"/>
          <w:highlight w:val="none"/>
        </w:rPr>
        <w:t>预算部门应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14:paraId="31C6A2D5">
      <w:pPr>
        <w:pStyle w:val="5"/>
        <w:keepNext w:val="0"/>
        <w:keepLines w:val="0"/>
        <w:pageBreakBefore w:val="0"/>
        <w:widowControl w:val="0"/>
        <w:kinsoku/>
        <w:wordWrap/>
        <w:overflowPunct/>
        <w:topLinePunct w:val="0"/>
        <w:autoSpaceDE/>
        <w:autoSpaceDN/>
        <w:bidi w:val="0"/>
        <w:spacing w:line="578" w:lineRule="exact"/>
        <w:ind w:left="0" w:firstLine="643"/>
        <w:textAlignment w:val="auto"/>
        <w:outlineLvl w:val="2"/>
        <w:rPr>
          <w:rFonts w:hint="eastAsia" w:ascii="仿宋_GB2312" w:hAnsi="仿宋_GB2312" w:eastAsia="仿宋_GB2312" w:cs="仿宋_GB2312"/>
          <w:b/>
          <w:bCs/>
          <w:sz w:val="32"/>
          <w:szCs w:val="32"/>
          <w:highlight w:val="none"/>
        </w:rPr>
      </w:pPr>
      <w:bookmarkStart w:id="34" w:name="_Toc70582288"/>
      <w:r>
        <w:rPr>
          <w:rFonts w:hint="eastAsia" w:ascii="仿宋_GB2312" w:hAnsi="仿宋_GB2312" w:eastAsia="仿宋_GB2312" w:cs="仿宋_GB2312"/>
          <w:b/>
          <w:bCs/>
          <w:sz w:val="32"/>
          <w:szCs w:val="32"/>
          <w:highlight w:val="none"/>
          <w:lang w:val="en-US" w:eastAsia="zh-CN"/>
        </w:rPr>
        <w:t>2</w:t>
      </w:r>
      <w:r>
        <w:rPr>
          <w:rFonts w:hint="eastAsia" w:ascii="仿宋_GB2312" w:hAnsi="仿宋_GB2312" w:eastAsia="仿宋_GB2312" w:cs="仿宋_GB2312"/>
          <w:b/>
          <w:bCs/>
          <w:sz w:val="32"/>
          <w:szCs w:val="32"/>
          <w:highlight w:val="none"/>
        </w:rPr>
        <w:t>.提高部门绩效管理意识</w:t>
      </w:r>
      <w:bookmarkEnd w:id="34"/>
    </w:p>
    <w:p w14:paraId="2AD94923">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bookmarkStart w:id="35" w:name="_Toc1926"/>
      <w:bookmarkStart w:id="36" w:name="_Toc3280"/>
      <w:bookmarkStart w:id="37" w:name="_Toc17737"/>
      <w:r>
        <w:rPr>
          <w:rFonts w:hint="eastAsia" w:ascii="仿宋_GB2312" w:hAnsi="仿宋_GB2312" w:eastAsia="仿宋_GB2312" w:cs="仿宋_GB2312"/>
          <w:sz w:val="32"/>
          <w:szCs w:val="32"/>
          <w:highlight w:val="none"/>
          <w:lang w:val="en-US" w:eastAsia="zh-CN"/>
        </w:rPr>
        <w:t>部门</w:t>
      </w:r>
      <w:r>
        <w:rPr>
          <w:rFonts w:hint="eastAsia" w:ascii="仿宋_GB2312" w:hAnsi="仿宋_GB2312" w:eastAsia="仿宋_GB2312" w:cs="仿宋_GB2312"/>
          <w:sz w:val="32"/>
          <w:szCs w:val="32"/>
          <w:highlight w:val="none"/>
        </w:rPr>
        <w:t>在今后的工作中，应加强对预算绩效管理工作的重视，把绩效理念融入到预算编制、执行、监督管理的全过程，通过制定统一的工作规划、管理制度体系，加强对预算绩效管理的保障支撑性。通过组织培训，加强宣传等方式，加强部门工作人员对预算绩效管理的认识，充分理解财政绩效评价指标体系，强化全过程预算绩效管理理念，积极主动的开展绩效管理工作，以提高财政资金使用效益。</w:t>
      </w:r>
      <w:bookmarkEnd w:id="35"/>
      <w:bookmarkEnd w:id="36"/>
      <w:bookmarkEnd w:id="37"/>
    </w:p>
    <w:p w14:paraId="6443F092">
      <w:pPr>
        <w:pStyle w:val="4"/>
        <w:pageBreakBefore w:val="0"/>
        <w:widowControl w:val="0"/>
        <w:kinsoku/>
        <w:wordWrap/>
        <w:overflowPunct/>
        <w:topLinePunct w:val="0"/>
        <w:autoSpaceDE/>
        <w:autoSpaceDN/>
        <w:bidi w:val="0"/>
        <w:spacing w:before="0" w:after="0" w:line="578" w:lineRule="exact"/>
        <w:ind w:left="0"/>
        <w:textAlignment w:val="auto"/>
        <w:rPr>
          <w:rFonts w:hint="eastAsia" w:ascii="仿宋_GB2312" w:hAnsi="仿宋_GB2312" w:eastAsia="仿宋_GB2312" w:cs="仿宋_GB2312"/>
          <w:sz w:val="32"/>
          <w:szCs w:val="32"/>
          <w:highlight w:val="none"/>
          <w:lang w:val="en-US" w:eastAsia="zh-CN"/>
        </w:rPr>
      </w:pPr>
    </w:p>
    <w:p w14:paraId="5E7F7908">
      <w:pPr>
        <w:pageBreakBefore w:val="0"/>
        <w:widowControl w:val="0"/>
        <w:kinsoku/>
        <w:wordWrap/>
        <w:overflowPunct/>
        <w:topLinePunct w:val="0"/>
        <w:autoSpaceDE/>
        <w:autoSpaceDN/>
        <w:bidi w:val="0"/>
        <w:spacing w:line="578" w:lineRule="exact"/>
        <w:ind w:left="0"/>
        <w:textAlignment w:val="auto"/>
        <w:rPr>
          <w:rFonts w:hint="eastAsia"/>
          <w:sz w:val="32"/>
          <w:szCs w:val="32"/>
          <w:highlight w:val="none"/>
          <w:lang w:val="en-US" w:eastAsia="zh-CN"/>
        </w:rPr>
      </w:pPr>
    </w:p>
    <w:p w14:paraId="5FBD9E9D">
      <w:pPr>
        <w:pageBreakBefore w:val="0"/>
        <w:widowControl w:val="0"/>
        <w:kinsoku/>
        <w:wordWrap/>
        <w:overflowPunct/>
        <w:topLinePunct w:val="0"/>
        <w:autoSpaceDE/>
        <w:autoSpaceDN/>
        <w:bidi w:val="0"/>
        <w:adjustRightInd/>
        <w:snapToGrid w:val="0"/>
        <w:spacing w:line="578" w:lineRule="exact"/>
        <w:jc w:val="righ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石家庄市卫生健康委员会</w:t>
      </w:r>
    </w:p>
    <w:p w14:paraId="4BE7DF24">
      <w:pPr>
        <w:pStyle w:val="4"/>
        <w:pageBreakBefore w:val="0"/>
        <w:widowControl w:val="0"/>
        <w:kinsoku/>
        <w:wordWrap/>
        <w:overflowPunct/>
        <w:topLinePunct w:val="0"/>
        <w:autoSpaceDE/>
        <w:autoSpaceDN/>
        <w:bidi w:val="0"/>
        <w:spacing w:before="0" w:after="0" w:line="578" w:lineRule="exact"/>
        <w:ind w:left="0"/>
        <w:jc w:val="center"/>
        <w:textAlignment w:val="auto"/>
        <w:rPr>
          <w:rFonts w:hint="default"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b w:val="0"/>
          <w:bCs w:val="0"/>
          <w:kern w:val="2"/>
          <w:sz w:val="32"/>
          <w:szCs w:val="32"/>
          <w:highlight w:val="none"/>
          <w:lang w:val="en-US" w:eastAsia="zh-CN" w:bidi="ar-SA"/>
        </w:rPr>
        <w:t>2025年3月27日</w:t>
      </w:r>
    </w:p>
    <w:sectPr>
      <w:footerReference r:id="rId6" w:type="default"/>
      <w:pgSz w:w="11906" w:h="16838"/>
      <w:pgMar w:top="1440" w:right="1474" w:bottom="1440" w:left="1587" w:header="851" w:footer="992" w:gutter="0"/>
      <w:pgNumType w:fmt="numberInDash"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_GB2312">
    <w:panose1 w:val="02010609030101010101"/>
    <w:charset w:val="86"/>
    <w:family w:val="auto"/>
    <w:pitch w:val="default"/>
    <w:sig w:usb0="00000001" w:usb1="080E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33A833">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F48DBD">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EFED72">
                          <w:pPr>
                            <w:pStyle w:val="2"/>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9EFED72">
                    <w:pPr>
                      <w:pStyle w:val="2"/>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F32CAA">
    <w:pPr>
      <w:pStyle w:val="7"/>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F61AA">
    <w:pPr>
      <w:pStyle w:val="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BF1BF2"/>
    <w:multiLevelType w:val="singleLevel"/>
    <w:tmpl w:val="8DBF1BF2"/>
    <w:lvl w:ilvl="0" w:tentative="0">
      <w:start w:val="2"/>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NmMjgxZjczNGMwM2Y5NmQ3MTBkNzM1NjZhMDJjYmUifQ=="/>
  </w:docVars>
  <w:rsids>
    <w:rsidRoot w:val="02B751D2"/>
    <w:rsid w:val="00C11E01"/>
    <w:rsid w:val="019D6391"/>
    <w:rsid w:val="02B751D2"/>
    <w:rsid w:val="063E0D7F"/>
    <w:rsid w:val="07A11279"/>
    <w:rsid w:val="07E860AB"/>
    <w:rsid w:val="0A9F23E7"/>
    <w:rsid w:val="0BAD28E2"/>
    <w:rsid w:val="0DF76096"/>
    <w:rsid w:val="0E8965E3"/>
    <w:rsid w:val="0EAB315E"/>
    <w:rsid w:val="11457119"/>
    <w:rsid w:val="122C70F7"/>
    <w:rsid w:val="12BD27A5"/>
    <w:rsid w:val="171C3DAD"/>
    <w:rsid w:val="17A74689"/>
    <w:rsid w:val="18FC0A05"/>
    <w:rsid w:val="1C896A53"/>
    <w:rsid w:val="1DB21385"/>
    <w:rsid w:val="20E406FC"/>
    <w:rsid w:val="2346744C"/>
    <w:rsid w:val="239A6ADF"/>
    <w:rsid w:val="28B07116"/>
    <w:rsid w:val="2A832351"/>
    <w:rsid w:val="2A894493"/>
    <w:rsid w:val="2B254A40"/>
    <w:rsid w:val="2BBE0234"/>
    <w:rsid w:val="2CF27CFD"/>
    <w:rsid w:val="2D1672DA"/>
    <w:rsid w:val="2DC21DC5"/>
    <w:rsid w:val="300761B5"/>
    <w:rsid w:val="304919B7"/>
    <w:rsid w:val="318850D4"/>
    <w:rsid w:val="33B07D04"/>
    <w:rsid w:val="33D04F65"/>
    <w:rsid w:val="344165C4"/>
    <w:rsid w:val="34585CCF"/>
    <w:rsid w:val="360D753C"/>
    <w:rsid w:val="37E62B54"/>
    <w:rsid w:val="386258B8"/>
    <w:rsid w:val="39BD7EFD"/>
    <w:rsid w:val="3C8B7826"/>
    <w:rsid w:val="3CA31014"/>
    <w:rsid w:val="3E907F9B"/>
    <w:rsid w:val="41524DB6"/>
    <w:rsid w:val="46B07D57"/>
    <w:rsid w:val="47574CD1"/>
    <w:rsid w:val="4803505C"/>
    <w:rsid w:val="484626FB"/>
    <w:rsid w:val="48481C04"/>
    <w:rsid w:val="4C0F5D7E"/>
    <w:rsid w:val="523C1897"/>
    <w:rsid w:val="57680B68"/>
    <w:rsid w:val="57D63BF4"/>
    <w:rsid w:val="57D96A02"/>
    <w:rsid w:val="59964C1F"/>
    <w:rsid w:val="5B7C1B93"/>
    <w:rsid w:val="5E07585E"/>
    <w:rsid w:val="5F5C5326"/>
    <w:rsid w:val="60194385"/>
    <w:rsid w:val="608742BB"/>
    <w:rsid w:val="613A51F3"/>
    <w:rsid w:val="627C183B"/>
    <w:rsid w:val="62E93354"/>
    <w:rsid w:val="63EB0054"/>
    <w:rsid w:val="65165F77"/>
    <w:rsid w:val="672C7CD4"/>
    <w:rsid w:val="6B36165F"/>
    <w:rsid w:val="6D85566E"/>
    <w:rsid w:val="6E570C95"/>
    <w:rsid w:val="6F835C05"/>
    <w:rsid w:val="704D068B"/>
    <w:rsid w:val="71B903B6"/>
    <w:rsid w:val="74124D6E"/>
    <w:rsid w:val="74CF1C9F"/>
    <w:rsid w:val="78E201F2"/>
    <w:rsid w:val="78E66C78"/>
    <w:rsid w:val="791536A5"/>
    <w:rsid w:val="79780B57"/>
    <w:rsid w:val="7C0B7A60"/>
    <w:rsid w:val="7CDE70DF"/>
    <w:rsid w:val="7D6A4031"/>
    <w:rsid w:val="7D7B250F"/>
    <w:rsid w:val="7E8D6E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黑体"/>
      <w:kern w:val="2"/>
      <w:sz w:val="21"/>
      <w:szCs w:val="22"/>
      <w:lang w:val="en-US" w:eastAsia="zh-CN" w:bidi="ar-SA"/>
    </w:rPr>
  </w:style>
  <w:style w:type="paragraph" w:styleId="3">
    <w:name w:val="heading 3"/>
    <w:basedOn w:val="1"/>
    <w:next w:val="1"/>
    <w:autoRedefine/>
    <w:unhideWhenUsed/>
    <w:qFormat/>
    <w:uiPriority w:val="0"/>
    <w:pPr>
      <w:keepNext/>
      <w:keepLines/>
      <w:spacing w:beforeLines="0" w:beforeAutospacing="0" w:afterLines="0" w:afterAutospacing="0" w:line="360" w:lineRule="auto"/>
      <w:ind w:firstLine="883" w:firstLineChars="200"/>
      <w:jc w:val="left"/>
      <w:outlineLvl w:val="2"/>
    </w:pPr>
    <w:rPr>
      <w:rFonts w:eastAsia="仿宋_GB2312"/>
      <w:sz w:val="32"/>
    </w:rPr>
  </w:style>
  <w:style w:type="paragraph" w:styleId="4">
    <w:name w:val="heading 6"/>
    <w:basedOn w:val="1"/>
    <w:next w:val="1"/>
    <w:autoRedefine/>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2">
    <w:name w:val="Default Paragraph Font"/>
    <w:autoRedefine/>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5">
    <w:name w:val="Normal Indent"/>
    <w:basedOn w:val="1"/>
    <w:autoRedefine/>
    <w:unhideWhenUsed/>
    <w:qFormat/>
    <w:uiPriority w:val="99"/>
    <w:pPr>
      <w:ind w:firstLine="420" w:firstLineChars="200"/>
    </w:pPr>
  </w:style>
  <w:style w:type="paragraph" w:styleId="6">
    <w:name w:val="Body Text"/>
    <w:basedOn w:val="1"/>
    <w:autoRedefine/>
    <w:qFormat/>
    <w:uiPriority w:val="0"/>
    <w:pPr>
      <w:spacing w:after="120"/>
    </w:pPr>
  </w:style>
  <w:style w:type="paragraph" w:styleId="7">
    <w:name w:val="header"/>
    <w:basedOn w:val="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autoRedefine/>
    <w:qFormat/>
    <w:uiPriority w:val="0"/>
  </w:style>
  <w:style w:type="paragraph" w:styleId="9">
    <w:name w:val="toc 2"/>
    <w:basedOn w:val="1"/>
    <w:next w:val="1"/>
    <w:autoRedefine/>
    <w:qFormat/>
    <w:uiPriority w:val="0"/>
    <w:pPr>
      <w:ind w:left="420" w:leftChars="200"/>
    </w:pPr>
  </w:style>
  <w:style w:type="paragraph" w:styleId="10">
    <w:name w:val="Body Text First Indent"/>
    <w:basedOn w:val="6"/>
    <w:autoRedefine/>
    <w:qFormat/>
    <w:uiPriority w:val="0"/>
    <w:pPr>
      <w:spacing w:after="120" w:line="240" w:lineRule="auto"/>
      <w:ind w:firstLine="240" w:firstLineChars="100"/>
    </w:pPr>
    <w:rPr>
      <w:rFonts w:ascii="楷体_GB2312" w:eastAsia="楷体_GB2312"/>
      <w:snapToGrid w:val="0"/>
      <w:kern w:val="0"/>
      <w:sz w:val="24"/>
      <w:lang w:val="zh-CN"/>
    </w:rPr>
  </w:style>
  <w:style w:type="paragraph" w:customStyle="1" w:styleId="13">
    <w:name w:val="WPSOffice手动目录 1"/>
    <w:autoRedefine/>
    <w:qFormat/>
    <w:uiPriority w:val="0"/>
    <w:pPr>
      <w:ind w:leftChars="0"/>
    </w:pPr>
    <w:rPr>
      <w:rFonts w:ascii="Times New Roman" w:hAnsi="Times New Roman" w:eastAsia="宋体" w:cs="Times New Roman"/>
      <w:sz w:val="20"/>
      <w:szCs w:val="20"/>
    </w:rPr>
  </w:style>
  <w:style w:type="paragraph" w:customStyle="1" w:styleId="14">
    <w:name w:val="WPSOffice手动目录 2"/>
    <w:autoRedefine/>
    <w:qFormat/>
    <w:uiPriority w:val="0"/>
    <w:pPr>
      <w:ind w:leftChars="200"/>
    </w:pPr>
    <w:rPr>
      <w:rFonts w:ascii="Times New Roman" w:hAnsi="Times New Roman" w:eastAsia="宋体" w:cs="Times New Roman"/>
      <w:sz w:val="20"/>
      <w:szCs w:val="20"/>
    </w:rPr>
  </w:style>
  <w:style w:type="paragraph" w:customStyle="1" w:styleId="15">
    <w:name w:val="插入文本样式-插入职责分类绩效目标文件"/>
    <w:basedOn w:val="1"/>
    <w:autoRedefine/>
    <w:qFormat/>
    <w:uiPriority w:val="0"/>
    <w:pPr>
      <w:spacing w:line="500" w:lineRule="exact"/>
      <w:ind w:firstLine="560"/>
    </w:pPr>
    <w:rPr>
      <w:rFonts w:eastAsia="方正仿宋_GBK"/>
      <w:sz w:val="28"/>
    </w:rPr>
  </w:style>
  <w:style w:type="character" w:customStyle="1" w:styleId="16">
    <w:name w:val="font11"/>
    <w:basedOn w:val="12"/>
    <w:autoRedefine/>
    <w:qFormat/>
    <w:uiPriority w:val="0"/>
    <w:rPr>
      <w:rFonts w:hint="eastAsia" w:ascii="宋体" w:hAnsi="宋体" w:eastAsia="宋体" w:cs="宋体"/>
      <w:color w:val="000000"/>
      <w:sz w:val="32"/>
      <w:szCs w:val="32"/>
      <w:u w:val="none"/>
      <w:vertAlign w:val="superscript"/>
    </w:rPr>
  </w:style>
  <w:style w:type="paragraph" w:customStyle="1" w:styleId="17">
    <w:name w:val="Normal (Web)"/>
    <w:basedOn w:val="1"/>
    <w:qFormat/>
    <w:uiPriority w:val="0"/>
    <w:pPr>
      <w:spacing w:before="100" w:beforeLines="0" w:beforeAutospacing="1" w:after="100" w:afterLines="0" w:afterAutospacing="1"/>
      <w:jc w:val="left"/>
    </w:pPr>
    <w:rPr>
      <w:kern w:val="0"/>
      <w:sz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439</Words>
  <Characters>459</Characters>
  <Lines>0</Lines>
  <Paragraphs>0</Paragraphs>
  <TotalTime>0</TotalTime>
  <ScaleCrop>false</ScaleCrop>
  <LinksUpToDate>false</LinksUpToDate>
  <CharactersWithSpaces>545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2022-03-11T05:06:00Z</dcterms:created>
  <dc:creator>你是我的神经病1417941470</dc:creator>
  <cp:lastModifiedBy>小皮.</cp:lastModifiedBy>
  <cp:lastPrinted>2023-04-17T01:52:00Z</cp:lastPrinted>
  <dcterms:modified xsi:type="dcterms:W3CDTF">2025-03-28T10:59:52Z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99A2188003354BCE9EF5FD75885F3EE1</vt:lpwstr>
  </property>
  <property fmtid="{D5CDD505-2E9C-101B-9397-08002B2CF9AE}" pid="4" name="KSOTemplateDocerSaveRecord">
    <vt:lpwstr>eyJoZGlkIjoiNWNmMjgxZjczNGMwM2Y5NmQ3MTBkNzM1NjZhMDJjYmUiLCJ1c2VySWQiOiI2OTY4ODM2NTAifQ==</vt:lpwstr>
  </property>
</Properties>
</file>